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ED" w:rsidRPr="002D5BED" w:rsidRDefault="002D5BED" w:rsidP="002D5BED">
      <w:pPr>
        <w:pStyle w:val="a3"/>
        <w:spacing w:after="0" w:afterAutospacing="0"/>
        <w:jc w:val="center"/>
        <w:rPr>
          <w:sz w:val="28"/>
          <w:szCs w:val="28"/>
        </w:rPr>
      </w:pPr>
      <w:r w:rsidRPr="002D5BED">
        <w:rPr>
          <w:rStyle w:val="a4"/>
          <w:sz w:val="28"/>
          <w:szCs w:val="28"/>
        </w:rPr>
        <w:t>ИНФОРМАЦИЯ</w:t>
      </w:r>
    </w:p>
    <w:p w:rsidR="002D5BED" w:rsidRPr="002D5BED" w:rsidRDefault="002D5BED" w:rsidP="002D5BED">
      <w:pPr>
        <w:pStyle w:val="a3"/>
        <w:spacing w:after="0" w:afterAutospacing="0"/>
        <w:ind w:firstLine="709"/>
        <w:jc w:val="center"/>
        <w:rPr>
          <w:sz w:val="28"/>
          <w:szCs w:val="28"/>
        </w:rPr>
      </w:pPr>
      <w:r w:rsidRPr="002D5BED">
        <w:rPr>
          <w:rStyle w:val="a4"/>
          <w:sz w:val="28"/>
          <w:szCs w:val="28"/>
        </w:rPr>
        <w:t>О ПРЕДОСТАВЛЕНИИ ЕЖЕМЕСЯЧНОЙ ДЕНЕЖНОЙ ВЫПЛАТЫ</w:t>
      </w:r>
      <w:r w:rsidRPr="002D5BED">
        <w:rPr>
          <w:sz w:val="28"/>
          <w:szCs w:val="28"/>
        </w:rPr>
        <w:t xml:space="preserve"> </w:t>
      </w:r>
      <w:r w:rsidRPr="002D5BED">
        <w:rPr>
          <w:rStyle w:val="a4"/>
          <w:sz w:val="28"/>
          <w:szCs w:val="28"/>
        </w:rPr>
        <w:t xml:space="preserve">ОТДЕЛЬНЫМ КАТЕГОРИЯМ ГРАЖДАН, ПРОЖИВАЮЩИМ </w:t>
      </w:r>
    </w:p>
    <w:p w:rsidR="002D5BED" w:rsidRPr="002D5BED" w:rsidRDefault="002D5BED" w:rsidP="002D5BED">
      <w:pPr>
        <w:pStyle w:val="a3"/>
        <w:spacing w:after="0" w:afterAutospacing="0"/>
        <w:ind w:firstLine="709"/>
        <w:jc w:val="center"/>
        <w:rPr>
          <w:sz w:val="28"/>
          <w:szCs w:val="28"/>
        </w:rPr>
      </w:pPr>
      <w:r w:rsidRPr="002D5BED">
        <w:rPr>
          <w:rStyle w:val="a4"/>
          <w:sz w:val="28"/>
          <w:szCs w:val="28"/>
        </w:rPr>
        <w:t>НА ТЕРРИТОРИИ НОВОСИБИРСКОЙ ОБЛАСТИ</w:t>
      </w:r>
    </w:p>
    <w:p w:rsidR="002D5BED" w:rsidRPr="002D5BED" w:rsidRDefault="002D5BED" w:rsidP="002D5BED">
      <w:pPr>
        <w:pStyle w:val="a3"/>
        <w:spacing w:after="0" w:afterAutospacing="0"/>
        <w:ind w:firstLine="709"/>
        <w:jc w:val="center"/>
        <w:rPr>
          <w:sz w:val="28"/>
          <w:szCs w:val="28"/>
        </w:rPr>
      </w:pPr>
      <w:r w:rsidRPr="002D5BED">
        <w:rPr>
          <w:sz w:val="28"/>
          <w:szCs w:val="28"/>
        </w:rPr>
        <w:t> В связи с поступающими многочисленными обращениями граждан в различные органы государственной власти, органы местного самоуправления  по вопросам предоставления ежемесячной денежной выплаты (далее – ЕДВ) сообщаем следующее.</w:t>
      </w:r>
    </w:p>
    <w:p w:rsidR="002D5BED" w:rsidRPr="002D5BED" w:rsidRDefault="002D5BED" w:rsidP="002D5BED">
      <w:pPr>
        <w:pStyle w:val="a3"/>
        <w:spacing w:after="0" w:afterAutospacing="0"/>
        <w:ind w:firstLine="709"/>
        <w:jc w:val="both"/>
        <w:rPr>
          <w:sz w:val="28"/>
          <w:szCs w:val="28"/>
        </w:rPr>
      </w:pPr>
      <w:r w:rsidRPr="002D5BED">
        <w:rPr>
          <w:sz w:val="28"/>
          <w:szCs w:val="28"/>
        </w:rPr>
        <w:t>В соответствии с действующим законодательством предоставление ЕДВ осуществляется через государственные казенные учреждения Новосибирской области центры социальной поддержки населения (далее –  центры, центр), подведомственные министерству труда и социального развития Новосибирской области (далее – министерство) следующим категориям граждан:</w:t>
      </w:r>
    </w:p>
    <w:p w:rsidR="002D5BED" w:rsidRPr="002D5BED" w:rsidRDefault="002D5BED" w:rsidP="002D5BED">
      <w:pPr>
        <w:pStyle w:val="a3"/>
        <w:autoSpaceDE w:val="0"/>
        <w:autoSpaceDN w:val="0"/>
        <w:spacing w:after="0" w:afterAutospacing="0"/>
        <w:ind w:firstLine="709"/>
        <w:jc w:val="both"/>
        <w:rPr>
          <w:sz w:val="28"/>
          <w:szCs w:val="28"/>
        </w:rPr>
      </w:pPr>
      <w:r w:rsidRPr="002D5BED">
        <w:rPr>
          <w:rStyle w:val="a4"/>
          <w:sz w:val="28"/>
          <w:szCs w:val="28"/>
        </w:rPr>
        <w:t>1) лицам, подвергшимся политическим репрессиям и признанным реабилитированными;</w:t>
      </w:r>
    </w:p>
    <w:p w:rsidR="002D5BED" w:rsidRPr="002D5BED" w:rsidRDefault="002D5BED" w:rsidP="002D5BED">
      <w:pPr>
        <w:pStyle w:val="a3"/>
        <w:autoSpaceDE w:val="0"/>
        <w:autoSpaceDN w:val="0"/>
        <w:spacing w:after="0" w:afterAutospacing="0"/>
        <w:ind w:firstLine="709"/>
        <w:jc w:val="both"/>
        <w:rPr>
          <w:sz w:val="28"/>
          <w:szCs w:val="28"/>
        </w:rPr>
      </w:pPr>
      <w:r w:rsidRPr="002D5BED">
        <w:rPr>
          <w:rStyle w:val="a4"/>
          <w:sz w:val="28"/>
          <w:szCs w:val="28"/>
        </w:rPr>
        <w:t>2) лицам, признанным пострадавшими от политических репрессий;</w:t>
      </w:r>
    </w:p>
    <w:p w:rsidR="002D5BED" w:rsidRPr="002D5BED" w:rsidRDefault="002D5BED" w:rsidP="002D5BED">
      <w:pPr>
        <w:pStyle w:val="a3"/>
        <w:autoSpaceDE w:val="0"/>
        <w:autoSpaceDN w:val="0"/>
        <w:spacing w:after="0" w:afterAutospacing="0"/>
        <w:ind w:firstLine="709"/>
        <w:jc w:val="both"/>
        <w:rPr>
          <w:sz w:val="28"/>
          <w:szCs w:val="28"/>
        </w:rPr>
      </w:pPr>
      <w:r w:rsidRPr="002D5BED">
        <w:rPr>
          <w:rStyle w:val="a4"/>
          <w:sz w:val="28"/>
          <w:szCs w:val="28"/>
        </w:rPr>
        <w:t>3)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2D5BED" w:rsidRPr="002D5BED" w:rsidRDefault="002D5BED" w:rsidP="002D5BED">
      <w:pPr>
        <w:pStyle w:val="a3"/>
        <w:autoSpaceDE w:val="0"/>
        <w:autoSpaceDN w:val="0"/>
        <w:spacing w:after="0" w:afterAutospacing="0"/>
        <w:ind w:firstLine="709"/>
        <w:jc w:val="both"/>
        <w:rPr>
          <w:sz w:val="28"/>
          <w:szCs w:val="28"/>
        </w:rPr>
      </w:pPr>
      <w:r w:rsidRPr="002D5BED">
        <w:rPr>
          <w:rStyle w:val="a4"/>
          <w:sz w:val="28"/>
          <w:szCs w:val="28"/>
        </w:rPr>
        <w:t>4) ветеранам труда, гражданам, приравненным к ним по состоянию на 31 декабря 2004 года;</w:t>
      </w:r>
    </w:p>
    <w:p w:rsidR="002D5BED" w:rsidRPr="002D5BED" w:rsidRDefault="002D5BED" w:rsidP="002D5BED">
      <w:pPr>
        <w:pStyle w:val="a3"/>
        <w:autoSpaceDE w:val="0"/>
        <w:autoSpaceDN w:val="0"/>
        <w:spacing w:after="0" w:afterAutospacing="0"/>
        <w:ind w:firstLine="709"/>
        <w:jc w:val="both"/>
        <w:rPr>
          <w:sz w:val="28"/>
          <w:szCs w:val="28"/>
        </w:rPr>
      </w:pPr>
      <w:r w:rsidRPr="002D5BED">
        <w:rPr>
          <w:rStyle w:val="a4"/>
          <w:sz w:val="28"/>
          <w:szCs w:val="28"/>
        </w:rPr>
        <w:t>5) ветеранам труда Новосибирской области.</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Обращаем Ваше внимание, что в настоящее время на территории Российской Федерации правовой статус граждан, которые могут быть отнесены к категории «Дети войны» на федеральном уровне не определен.</w:t>
      </w:r>
    </w:p>
    <w:p w:rsidR="002D5BED" w:rsidRPr="002D5BED" w:rsidRDefault="002D5BED" w:rsidP="002D5BED">
      <w:pPr>
        <w:pStyle w:val="a3"/>
        <w:autoSpaceDE w:val="0"/>
        <w:autoSpaceDN w:val="0"/>
        <w:spacing w:after="0" w:afterAutospacing="0"/>
        <w:ind w:firstLine="709"/>
        <w:jc w:val="both"/>
        <w:rPr>
          <w:sz w:val="28"/>
          <w:szCs w:val="28"/>
        </w:rPr>
      </w:pPr>
      <w:proofErr w:type="gramStart"/>
      <w:r w:rsidRPr="002D5BED">
        <w:rPr>
          <w:sz w:val="28"/>
          <w:szCs w:val="28"/>
        </w:rPr>
        <w:t xml:space="preserve">В качестве дополнительной меры социальной поддержки на территории Новосибирской области через центры предоставляется ЕДВ гражданам, которым на момент окончания Великой Отечественной войны не исполнилось 18 лет, и один из родителей которых в период с 22 июня 1941 года по 9 (11) мая 1945 года погиб (пропал без вести) при участии в боевых </w:t>
      </w:r>
      <w:r w:rsidRPr="002D5BED">
        <w:rPr>
          <w:sz w:val="28"/>
          <w:szCs w:val="28"/>
        </w:rPr>
        <w:lastRenderedPageBreak/>
        <w:t>действиях по защите Отечества или нахождении в плену</w:t>
      </w:r>
      <w:proofErr w:type="gramEnd"/>
      <w:r w:rsidRPr="002D5BED">
        <w:rPr>
          <w:sz w:val="28"/>
          <w:szCs w:val="28"/>
        </w:rPr>
        <w:t>, умер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Указанные получатели ЕДВ относятся в соответствии с законодательством Новосибирской области к категории граждан, потерявших родителей в годы Великой Отечественной войны 1941 – 1945 годов.</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При наличии у гражданина права на получение одной и той же меры социальной поддержки по разным основаниям соответствующая мера социальной поддержки предоставляется по одному основанию по выбору гражданина. Ежемесячная денежная выплата гражданам, потерявшим родителей в годы Великой Отечественной войны 1941 – 1945 годов, выплачивается независимо от получения ежемесячных денежных выплат, установленных иным нормативным правовым актом.</w:t>
      </w:r>
    </w:p>
    <w:p w:rsidR="002D5BED" w:rsidRPr="002D5BED" w:rsidRDefault="002D5BED" w:rsidP="002D5BED">
      <w:pPr>
        <w:pStyle w:val="a3"/>
        <w:spacing w:after="0" w:afterAutospacing="0"/>
        <w:ind w:firstLine="709"/>
        <w:jc w:val="both"/>
        <w:rPr>
          <w:sz w:val="28"/>
          <w:szCs w:val="28"/>
        </w:rPr>
      </w:pPr>
      <w:r w:rsidRPr="002D5BED">
        <w:rPr>
          <w:sz w:val="28"/>
          <w:szCs w:val="28"/>
        </w:rPr>
        <w:t>Например, если у гражданина одновременно имеются удостоверения о праве на меры социальной поддержки «Ветеран труда» и «Ветеран труда Новосибирской области», то ему будет предоставляться только одна ЕДВ по одному правовому основанию.</w:t>
      </w:r>
    </w:p>
    <w:p w:rsidR="002D5BED" w:rsidRPr="002D5BED" w:rsidRDefault="002D5BED" w:rsidP="002D5BED">
      <w:pPr>
        <w:pStyle w:val="a3"/>
        <w:spacing w:after="0" w:afterAutospacing="0"/>
        <w:ind w:firstLine="709"/>
        <w:jc w:val="both"/>
        <w:rPr>
          <w:sz w:val="28"/>
          <w:szCs w:val="28"/>
        </w:rPr>
      </w:pPr>
      <w:r w:rsidRPr="002D5BED">
        <w:rPr>
          <w:sz w:val="28"/>
          <w:szCs w:val="28"/>
        </w:rPr>
        <w:t>Также будет определяться право на получение ЕДВ, если гражданин относится одновременно к иным категориям граждан, предоставление ЕДВ которым осуществляется через центры.</w:t>
      </w:r>
    </w:p>
    <w:p w:rsidR="002D5BED" w:rsidRPr="002D5BED" w:rsidRDefault="002D5BED" w:rsidP="002D5BED">
      <w:pPr>
        <w:pStyle w:val="a3"/>
        <w:spacing w:after="0" w:afterAutospacing="0"/>
        <w:ind w:firstLine="709"/>
        <w:jc w:val="both"/>
        <w:rPr>
          <w:sz w:val="28"/>
          <w:szCs w:val="28"/>
        </w:rPr>
      </w:pPr>
      <w:r w:rsidRPr="002D5BED">
        <w:rPr>
          <w:sz w:val="28"/>
          <w:szCs w:val="28"/>
        </w:rPr>
        <w:t>Однако, если гражданин, например, будет иметь право на получение ЕДВ как ветеран труда и как гражданин, потерявший родителей в годы Великой Отечественной войны 1941 – 1945 годов, то ему будет предоставляться ЕДВ по двум указанным правовым основаниям.</w:t>
      </w:r>
    </w:p>
    <w:p w:rsidR="002D5BED" w:rsidRPr="002D5BED" w:rsidRDefault="002D5BED" w:rsidP="002D5BED">
      <w:pPr>
        <w:pStyle w:val="a3"/>
        <w:spacing w:after="0" w:afterAutospacing="0"/>
        <w:ind w:firstLine="709"/>
        <w:jc w:val="both"/>
        <w:rPr>
          <w:sz w:val="28"/>
          <w:szCs w:val="28"/>
        </w:rPr>
      </w:pPr>
      <w:r w:rsidRPr="002D5BED">
        <w:rPr>
          <w:sz w:val="28"/>
          <w:szCs w:val="28"/>
        </w:rPr>
        <w:t>ЕДВ является мерой социальной поддержки, предоставляемой отдельным категориям граждан, имеющим право на ее получение, в соответствии с законодательством Российской Федерации или законодательством Новосибирской области.</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 xml:space="preserve">В отношении ветеранов и инвалидов в части предоставления ЕДВ действуют специальные нормы федерального законодательства, которыми установлено, что если гражданин одновременно имеет право на ЕДВ по федеральным законам или иному нормативному правовому акту, ему предоставляется </w:t>
      </w:r>
      <w:r w:rsidRPr="002D5BED">
        <w:rPr>
          <w:sz w:val="28"/>
          <w:szCs w:val="28"/>
          <w:u w:val="single"/>
        </w:rPr>
        <w:t xml:space="preserve">одна </w:t>
      </w:r>
      <w:proofErr w:type="gramStart"/>
      <w:r w:rsidRPr="002D5BED">
        <w:rPr>
          <w:sz w:val="28"/>
          <w:szCs w:val="28"/>
          <w:u w:val="single"/>
        </w:rPr>
        <w:t>ЕДВ</w:t>
      </w:r>
      <w:proofErr w:type="gramEnd"/>
      <w:r w:rsidRPr="002D5BED">
        <w:rPr>
          <w:sz w:val="28"/>
          <w:szCs w:val="28"/>
        </w:rPr>
        <w:t xml:space="preserve"> либо по федеральным законам или иному нормативному правовому акту по его выбору.</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 xml:space="preserve">Таким образом, в нормативных правовых актах федерального законодательства, регулирующих предоставление ЕДВ, установлено право </w:t>
      </w:r>
      <w:r w:rsidRPr="002D5BED">
        <w:rPr>
          <w:sz w:val="28"/>
          <w:szCs w:val="28"/>
        </w:rPr>
        <w:lastRenderedPageBreak/>
        <w:t xml:space="preserve">гражданина на получение </w:t>
      </w:r>
      <w:r w:rsidRPr="002D5BED">
        <w:rPr>
          <w:sz w:val="28"/>
          <w:szCs w:val="28"/>
          <w:u w:val="single"/>
        </w:rPr>
        <w:t>одной ЕДВ</w:t>
      </w:r>
      <w:r w:rsidRPr="002D5BED">
        <w:rPr>
          <w:sz w:val="28"/>
          <w:szCs w:val="28"/>
        </w:rPr>
        <w:t xml:space="preserve"> по его выбору,</w:t>
      </w:r>
      <w:r w:rsidRPr="002D5BED">
        <w:rPr>
          <w:spacing w:val="-8"/>
          <w:sz w:val="28"/>
          <w:szCs w:val="28"/>
        </w:rPr>
        <w:t xml:space="preserve"> независимо от правового основания, по которому она устанавливается.</w:t>
      </w:r>
    </w:p>
    <w:p w:rsidR="002D5BED" w:rsidRPr="002D5BED" w:rsidRDefault="002D5BED" w:rsidP="002D5BED">
      <w:pPr>
        <w:pStyle w:val="a3"/>
        <w:autoSpaceDE w:val="0"/>
        <w:autoSpaceDN w:val="0"/>
        <w:spacing w:after="0" w:afterAutospacing="0"/>
        <w:ind w:firstLine="709"/>
        <w:jc w:val="both"/>
        <w:rPr>
          <w:sz w:val="28"/>
          <w:szCs w:val="28"/>
        </w:rPr>
      </w:pPr>
      <w:r w:rsidRPr="002D5BED">
        <w:rPr>
          <w:spacing w:val="-8"/>
          <w:sz w:val="28"/>
          <w:szCs w:val="28"/>
        </w:rPr>
        <w:t xml:space="preserve">Основанием являются правоустанавливающие документы, согласно которым гражданин относится к числу граждан, имеющих право на </w:t>
      </w:r>
      <w:r w:rsidRPr="002D5BED">
        <w:rPr>
          <w:sz w:val="28"/>
          <w:szCs w:val="28"/>
        </w:rPr>
        <w:t>предоставление мер социальной поддержки (в том числе ЕДВ), в рамках действующего законодательства (например, справка федерального государственного учреждения медико-социальной экспертизы об инвалидности, удостоверение о праве на предоставление мер социальной поддержки).</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Например, гражданин является инвалидом 2 группы и ветераном труда.</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 xml:space="preserve">Поскольку размер ЕДВ, установленный в соответствии с действующим законодательством ветеранам труда ниже, чем размер ЕДВ, установленный инвалидам, то гражданину предоставляется </w:t>
      </w:r>
      <w:r w:rsidRPr="002D5BED">
        <w:rPr>
          <w:sz w:val="28"/>
          <w:szCs w:val="28"/>
          <w:u w:val="single"/>
        </w:rPr>
        <w:t>одна ЕДВ</w:t>
      </w:r>
      <w:r w:rsidRPr="002D5BED">
        <w:rPr>
          <w:sz w:val="28"/>
          <w:szCs w:val="28"/>
        </w:rPr>
        <w:t>, имеющая более высокий размер, т.е. как инвалиду 2 группы.</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В соответствии с действующим законодательством предоставление ЕДВ по инвалидности ему осуществляется территориальным органом Пенсионного фонда Российской Федерации (далее – Пенсионный фонд Российской Федерации).</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Поскольку действующим законодательством предусмотрена выплата одной ЕДВ по одному правовому основанию, то при установлении Пенсионным фондом Российской Федерации гражданину ЕДВ как инвалиду, предоставление ЕДВ как ветерану труда через центр предоставляться не будет.</w:t>
      </w:r>
    </w:p>
    <w:p w:rsidR="002D5BED" w:rsidRPr="002D5BED" w:rsidRDefault="002D5BED" w:rsidP="002D5BED">
      <w:pPr>
        <w:pStyle w:val="a3"/>
        <w:spacing w:after="0" w:afterAutospacing="0"/>
        <w:ind w:firstLine="709"/>
        <w:jc w:val="both"/>
        <w:rPr>
          <w:sz w:val="28"/>
          <w:szCs w:val="28"/>
        </w:rPr>
      </w:pPr>
      <w:r w:rsidRPr="002D5BED">
        <w:rPr>
          <w:sz w:val="28"/>
          <w:szCs w:val="28"/>
        </w:rPr>
        <w:t>Однако</w:t>
      </w:r>
      <w:proofErr w:type="gramStart"/>
      <w:r w:rsidRPr="002D5BED">
        <w:rPr>
          <w:sz w:val="28"/>
          <w:szCs w:val="28"/>
        </w:rPr>
        <w:t>,</w:t>
      </w:r>
      <w:proofErr w:type="gramEnd"/>
      <w:r w:rsidRPr="002D5BED">
        <w:rPr>
          <w:sz w:val="28"/>
          <w:szCs w:val="28"/>
        </w:rPr>
        <w:t xml:space="preserve"> если гражданин является инвалидом и относится в соответствии с законодательством Новосибирской области к числу граждан, потерявших родителей в годы Великой Отечественной войны 1941 – 1945 годов, то ему будет предоставляться ЕДВ по двум указанным правовым основаниям.</w:t>
      </w:r>
    </w:p>
    <w:p w:rsidR="002D5BED" w:rsidRPr="002D5BED" w:rsidRDefault="002D5BED" w:rsidP="002D5BED">
      <w:pPr>
        <w:pStyle w:val="a3"/>
        <w:spacing w:after="0" w:afterAutospacing="0"/>
        <w:ind w:firstLine="709"/>
        <w:jc w:val="both"/>
        <w:rPr>
          <w:sz w:val="28"/>
          <w:szCs w:val="28"/>
        </w:rPr>
      </w:pPr>
      <w:r w:rsidRPr="002D5BED">
        <w:rPr>
          <w:sz w:val="28"/>
          <w:szCs w:val="28"/>
        </w:rPr>
        <w:t>Дополнительно сообщаем, что гражданам, подвергшимся воздействию радиации, которые имеют правоустанавливающие документы, подтверждающие их правовой статус в соответствии с действующим федеральным законодательством, предоставлено исключительное право на получение двух ЕДВ  по двум правовым основаниям.</w:t>
      </w:r>
    </w:p>
    <w:p w:rsidR="002D5BED" w:rsidRPr="002D5BED" w:rsidRDefault="002D5BED" w:rsidP="002D5BED">
      <w:pPr>
        <w:pStyle w:val="a3"/>
        <w:spacing w:after="0" w:afterAutospacing="0"/>
        <w:ind w:firstLine="709"/>
        <w:jc w:val="both"/>
        <w:rPr>
          <w:sz w:val="28"/>
          <w:szCs w:val="28"/>
        </w:rPr>
      </w:pPr>
      <w:r w:rsidRPr="002D5BED">
        <w:rPr>
          <w:sz w:val="28"/>
          <w:szCs w:val="28"/>
        </w:rPr>
        <w:t xml:space="preserve">Например, гражданин является участником ликвидации последствий катастрофы на Чернобыльской АЭС и получает одну ЕДВ через Пенсионный фонд Российской Федерации. При этом у него имеется удостоверение о праве на меры социальной поддержки «Ветеран труда». В этом случае ему может </w:t>
      </w:r>
      <w:r w:rsidRPr="002D5BED">
        <w:rPr>
          <w:sz w:val="28"/>
          <w:szCs w:val="28"/>
        </w:rPr>
        <w:lastRenderedPageBreak/>
        <w:t>быть предоставлена вторая ЕДВ по второму правовому основанию как ветерану труда при его обращении в центр.</w:t>
      </w:r>
    </w:p>
    <w:p w:rsidR="002D5BED" w:rsidRPr="002D5BED" w:rsidRDefault="002D5BED" w:rsidP="002D5BED">
      <w:pPr>
        <w:pStyle w:val="a3"/>
        <w:autoSpaceDE w:val="0"/>
        <w:autoSpaceDN w:val="0"/>
        <w:spacing w:after="0" w:afterAutospacing="0"/>
        <w:ind w:firstLine="709"/>
        <w:jc w:val="both"/>
        <w:rPr>
          <w:sz w:val="28"/>
          <w:szCs w:val="28"/>
        </w:rPr>
      </w:pPr>
      <w:r w:rsidRPr="002D5BED">
        <w:rPr>
          <w:sz w:val="28"/>
          <w:szCs w:val="28"/>
        </w:rPr>
        <w:t xml:space="preserve">Сообщаем также, что при возникновении вопросов, связанных с предоставлением ЕДВ, Вы можете обратиться непосредственно в </w:t>
      </w:r>
      <w:hyperlink r:id="rId4" w:history="1">
        <w:r w:rsidRPr="002D5BED">
          <w:rPr>
            <w:rStyle w:val="a5"/>
            <w:sz w:val="28"/>
            <w:szCs w:val="28"/>
          </w:rPr>
          <w:t>центры по месту жительства</w:t>
        </w:r>
      </w:hyperlink>
      <w:r w:rsidRPr="002D5BED">
        <w:rPr>
          <w:sz w:val="28"/>
          <w:szCs w:val="28"/>
        </w:rPr>
        <w:t>.</w:t>
      </w:r>
    </w:p>
    <w:p w:rsidR="002D5BED" w:rsidRPr="002D5BED" w:rsidRDefault="002D5BED" w:rsidP="002D5BED">
      <w:pPr>
        <w:pStyle w:val="a3"/>
        <w:spacing w:after="0" w:afterAutospacing="0"/>
        <w:ind w:firstLine="709"/>
        <w:jc w:val="both"/>
        <w:rPr>
          <w:sz w:val="28"/>
          <w:szCs w:val="28"/>
        </w:rPr>
      </w:pPr>
      <w:r w:rsidRPr="002D5BED">
        <w:rPr>
          <w:sz w:val="28"/>
          <w:szCs w:val="28"/>
        </w:rPr>
        <w:t>На официальном сайте министерства</w:t>
      </w:r>
      <w:r w:rsidR="009A7E76">
        <w:rPr>
          <w:sz w:val="28"/>
          <w:szCs w:val="28"/>
        </w:rPr>
        <w:t xml:space="preserve"> труда и социального развития Новосибирской области</w:t>
      </w:r>
      <w:r w:rsidRPr="002D5BED">
        <w:rPr>
          <w:sz w:val="28"/>
          <w:szCs w:val="28"/>
        </w:rPr>
        <w:t xml:space="preserve"> в разделе «</w:t>
      </w:r>
      <w:hyperlink r:id="rId5" w:history="1">
        <w:r w:rsidRPr="002D5BED">
          <w:rPr>
            <w:rStyle w:val="a5"/>
            <w:sz w:val="28"/>
            <w:szCs w:val="28"/>
          </w:rPr>
          <w:t>Выплаты и пособия</w:t>
        </w:r>
      </w:hyperlink>
      <w:r w:rsidRPr="002D5BED">
        <w:rPr>
          <w:sz w:val="28"/>
          <w:szCs w:val="28"/>
        </w:rPr>
        <w:t xml:space="preserve">» </w:t>
      </w:r>
      <w:r w:rsidR="00730562">
        <w:rPr>
          <w:sz w:val="28"/>
          <w:szCs w:val="28"/>
        </w:rPr>
        <w:t xml:space="preserve"> и н</w:t>
      </w:r>
      <w:r w:rsidR="00730562" w:rsidRPr="002D5BED">
        <w:rPr>
          <w:sz w:val="28"/>
          <w:szCs w:val="28"/>
        </w:rPr>
        <w:t xml:space="preserve">а официальном сайте </w:t>
      </w:r>
      <w:r w:rsidR="00730562">
        <w:rPr>
          <w:sz w:val="28"/>
          <w:szCs w:val="28"/>
        </w:rPr>
        <w:t>государственного казенного учреждения Новосибирской области «Центр социальной поддержки населения Краснозерского района»</w:t>
      </w:r>
      <w:r w:rsidR="00730562" w:rsidRPr="002D5BED">
        <w:rPr>
          <w:sz w:val="28"/>
          <w:szCs w:val="28"/>
        </w:rPr>
        <w:t xml:space="preserve"> в разделе «</w:t>
      </w:r>
      <w:hyperlink r:id="rId6" w:history="1">
        <w:r w:rsidR="00946241">
          <w:rPr>
            <w:rStyle w:val="a5"/>
            <w:sz w:val="28"/>
            <w:szCs w:val="28"/>
          </w:rPr>
          <w:t>Доска объявлений</w:t>
        </w:r>
      </w:hyperlink>
      <w:r w:rsidR="00730562" w:rsidRPr="002D5BED">
        <w:rPr>
          <w:sz w:val="28"/>
          <w:szCs w:val="28"/>
        </w:rPr>
        <w:t xml:space="preserve">» </w:t>
      </w:r>
      <w:r w:rsidR="00730562">
        <w:rPr>
          <w:sz w:val="28"/>
          <w:szCs w:val="28"/>
        </w:rPr>
        <w:t xml:space="preserve"> </w:t>
      </w:r>
      <w:r w:rsidRPr="002D5BED">
        <w:rPr>
          <w:sz w:val="28"/>
          <w:szCs w:val="28"/>
        </w:rPr>
        <w:t>размещена информация о мерах социальной поддержки, предоставляемых гражданам, проживающим на территории Новосибирской области.</w:t>
      </w:r>
    </w:p>
    <w:p w:rsidR="002D5BED" w:rsidRDefault="002D5BED" w:rsidP="002D5BED">
      <w:pPr>
        <w:pStyle w:val="a3"/>
        <w:spacing w:after="0" w:afterAutospacing="0"/>
        <w:ind w:firstLine="709"/>
        <w:jc w:val="both"/>
        <w:rPr>
          <w:rStyle w:val="a4"/>
          <w:sz w:val="28"/>
          <w:szCs w:val="28"/>
          <w:shd w:val="clear" w:color="auto" w:fill="FFFFFF"/>
        </w:rPr>
      </w:pPr>
      <w:r w:rsidRPr="002D5BED">
        <w:rPr>
          <w:sz w:val="28"/>
          <w:szCs w:val="28"/>
        </w:rPr>
        <w:t>Телефон горячей линии министерства</w:t>
      </w:r>
      <w:r w:rsidR="00E62D16" w:rsidRPr="00E62D16">
        <w:rPr>
          <w:sz w:val="28"/>
          <w:szCs w:val="28"/>
        </w:rPr>
        <w:t xml:space="preserve"> </w:t>
      </w:r>
      <w:r w:rsidR="00E62D16">
        <w:rPr>
          <w:sz w:val="28"/>
          <w:szCs w:val="28"/>
        </w:rPr>
        <w:t>труда и социального развития Новосибирской области</w:t>
      </w:r>
      <w:r w:rsidRPr="002D5BED">
        <w:rPr>
          <w:sz w:val="28"/>
          <w:szCs w:val="28"/>
        </w:rPr>
        <w:t>: </w:t>
      </w:r>
      <w:r w:rsidRPr="002D5BED">
        <w:rPr>
          <w:rStyle w:val="a4"/>
          <w:sz w:val="28"/>
          <w:szCs w:val="28"/>
          <w:shd w:val="clear" w:color="auto" w:fill="FFFFFF"/>
        </w:rPr>
        <w:t>8-800-100-00-82 (звонок бесплатный).</w:t>
      </w:r>
    </w:p>
    <w:p w:rsidR="00E62D16" w:rsidRPr="002D5BED" w:rsidRDefault="00E62D16" w:rsidP="00E62D16">
      <w:pPr>
        <w:pStyle w:val="a3"/>
        <w:spacing w:after="0" w:afterAutospacing="0"/>
        <w:ind w:firstLine="709"/>
        <w:jc w:val="both"/>
        <w:rPr>
          <w:sz w:val="28"/>
          <w:szCs w:val="28"/>
        </w:rPr>
      </w:pPr>
      <w:r w:rsidRPr="002D5BED">
        <w:rPr>
          <w:sz w:val="28"/>
          <w:szCs w:val="28"/>
        </w:rPr>
        <w:t>Телефон </w:t>
      </w:r>
      <w:r>
        <w:rPr>
          <w:sz w:val="28"/>
          <w:szCs w:val="28"/>
        </w:rPr>
        <w:t>государственного казенного учреждения Новосибирской области «Центр социальной поддержки населения Краснозерского района»</w:t>
      </w:r>
      <w:r w:rsidRPr="002D5BED">
        <w:rPr>
          <w:sz w:val="28"/>
          <w:szCs w:val="28"/>
        </w:rPr>
        <w:t>: </w:t>
      </w:r>
      <w:r w:rsidRPr="002D5BED">
        <w:rPr>
          <w:rStyle w:val="a4"/>
          <w:sz w:val="28"/>
          <w:szCs w:val="28"/>
          <w:shd w:val="clear" w:color="auto" w:fill="FFFFFF"/>
        </w:rPr>
        <w:t>8-</w:t>
      </w:r>
      <w:r>
        <w:rPr>
          <w:rStyle w:val="a4"/>
          <w:sz w:val="28"/>
          <w:szCs w:val="28"/>
          <w:shd w:val="clear" w:color="auto" w:fill="FFFFFF"/>
        </w:rPr>
        <w:t>38357</w:t>
      </w:r>
      <w:r w:rsidRPr="002D5BED">
        <w:rPr>
          <w:rStyle w:val="a4"/>
          <w:sz w:val="28"/>
          <w:szCs w:val="28"/>
          <w:shd w:val="clear" w:color="auto" w:fill="FFFFFF"/>
        </w:rPr>
        <w:t>-</w:t>
      </w:r>
      <w:r>
        <w:rPr>
          <w:rStyle w:val="a4"/>
          <w:sz w:val="28"/>
          <w:szCs w:val="28"/>
          <w:shd w:val="clear" w:color="auto" w:fill="FFFFFF"/>
        </w:rPr>
        <w:t>42</w:t>
      </w:r>
      <w:r w:rsidRPr="002D5BED">
        <w:rPr>
          <w:rStyle w:val="a4"/>
          <w:sz w:val="28"/>
          <w:szCs w:val="28"/>
          <w:shd w:val="clear" w:color="auto" w:fill="FFFFFF"/>
        </w:rPr>
        <w:t>-</w:t>
      </w:r>
      <w:r>
        <w:rPr>
          <w:rStyle w:val="a4"/>
          <w:sz w:val="28"/>
          <w:szCs w:val="28"/>
          <w:shd w:val="clear" w:color="auto" w:fill="FFFFFF"/>
        </w:rPr>
        <w:t>566</w:t>
      </w:r>
      <w:r w:rsidRPr="002D5BED">
        <w:rPr>
          <w:rStyle w:val="a4"/>
          <w:sz w:val="28"/>
          <w:szCs w:val="28"/>
          <w:shd w:val="clear" w:color="auto" w:fill="FFFFFF"/>
        </w:rPr>
        <w:t>.</w:t>
      </w:r>
    </w:p>
    <w:p w:rsidR="002D5BED" w:rsidRPr="002D5BED" w:rsidRDefault="002D5BED" w:rsidP="002D5BED">
      <w:pPr>
        <w:pStyle w:val="a3"/>
        <w:spacing w:after="0" w:afterAutospacing="0"/>
        <w:ind w:firstLine="709"/>
        <w:jc w:val="both"/>
        <w:rPr>
          <w:sz w:val="28"/>
          <w:szCs w:val="28"/>
        </w:rPr>
      </w:pPr>
      <w:r w:rsidRPr="002D5BED">
        <w:rPr>
          <w:sz w:val="28"/>
          <w:szCs w:val="28"/>
        </w:rPr>
        <w:t>По вопросам, связанным с предоставлением пенсии, социальных выплат, предоставляемых через Пенсионный фонд Российской Федерации, предлагаем обращаться непосредс</w:t>
      </w:r>
      <w:r w:rsidR="00E62D16">
        <w:rPr>
          <w:sz w:val="28"/>
          <w:szCs w:val="28"/>
        </w:rPr>
        <w:t xml:space="preserve">твенно в указанный орган и его </w:t>
      </w:r>
      <w:r w:rsidRPr="002D5BED">
        <w:rPr>
          <w:sz w:val="28"/>
          <w:szCs w:val="28"/>
        </w:rPr>
        <w:t>клиентские службы.</w:t>
      </w:r>
    </w:p>
    <w:p w:rsidR="002D5BED" w:rsidRPr="002D5BED" w:rsidRDefault="002D5BED" w:rsidP="002D5BED">
      <w:pPr>
        <w:pStyle w:val="a3"/>
        <w:spacing w:after="0" w:afterAutospacing="0"/>
        <w:ind w:firstLine="709"/>
        <w:jc w:val="both"/>
        <w:rPr>
          <w:sz w:val="28"/>
          <w:szCs w:val="28"/>
        </w:rPr>
      </w:pPr>
      <w:r w:rsidRPr="002D5BED">
        <w:rPr>
          <w:sz w:val="28"/>
          <w:szCs w:val="28"/>
        </w:rPr>
        <w:t>Телефон горячей линии Пенсионного фонда Российской Федерации: </w:t>
      </w:r>
      <w:r w:rsidRPr="002D5BED">
        <w:rPr>
          <w:sz w:val="28"/>
          <w:szCs w:val="28"/>
          <w:shd w:val="clear" w:color="auto" w:fill="FFFFFF"/>
        </w:rPr>
        <w:t>8-800-600-07-20 (звонок бесплатный).</w:t>
      </w:r>
    </w:p>
    <w:p w:rsidR="002D5BED" w:rsidRPr="002D5BED" w:rsidRDefault="002D5BED" w:rsidP="002D5BED">
      <w:pPr>
        <w:pStyle w:val="a3"/>
        <w:spacing w:after="0" w:afterAutospacing="0"/>
        <w:ind w:firstLine="709"/>
        <w:jc w:val="both"/>
        <w:rPr>
          <w:sz w:val="28"/>
          <w:szCs w:val="28"/>
        </w:rPr>
      </w:pPr>
      <w:r w:rsidRPr="002D5BED">
        <w:rPr>
          <w:sz w:val="28"/>
          <w:szCs w:val="28"/>
        </w:rPr>
        <w:t>В многофункциональные центры государственных и муниципальных услуг Новосибирской области «Мои документы»  предлагаем обращаться по телефонам:</w:t>
      </w:r>
    </w:p>
    <w:p w:rsidR="002D5BED" w:rsidRPr="002D5BED" w:rsidRDefault="002D5BED" w:rsidP="002D5BED">
      <w:pPr>
        <w:pStyle w:val="a3"/>
        <w:spacing w:after="0" w:afterAutospacing="0"/>
        <w:ind w:firstLine="709"/>
        <w:jc w:val="both"/>
        <w:rPr>
          <w:sz w:val="28"/>
          <w:szCs w:val="28"/>
        </w:rPr>
      </w:pPr>
      <w:r w:rsidRPr="002D5BED">
        <w:rPr>
          <w:sz w:val="28"/>
          <w:szCs w:val="28"/>
        </w:rPr>
        <w:t>е</w:t>
      </w:r>
      <w:r w:rsidRPr="002D5BED">
        <w:rPr>
          <w:sz w:val="28"/>
          <w:szCs w:val="28"/>
          <w:shd w:val="clear" w:color="auto" w:fill="FFFFFF"/>
        </w:rPr>
        <w:t>диная справочная служба: 052 (городской номер телефона),</w:t>
      </w:r>
    </w:p>
    <w:p w:rsidR="002D5BED" w:rsidRPr="002D5BED" w:rsidRDefault="002D5BED" w:rsidP="002D5BED">
      <w:pPr>
        <w:pStyle w:val="a3"/>
        <w:spacing w:after="0" w:afterAutospacing="0"/>
        <w:ind w:firstLine="709"/>
        <w:jc w:val="both"/>
        <w:rPr>
          <w:sz w:val="28"/>
          <w:szCs w:val="28"/>
        </w:rPr>
      </w:pPr>
      <w:r w:rsidRPr="002D5BED">
        <w:rPr>
          <w:sz w:val="28"/>
          <w:szCs w:val="28"/>
          <w:shd w:val="clear" w:color="auto" w:fill="FFFFFF"/>
        </w:rPr>
        <w:t>8(383) 217-70-52 (звонок для регионов).</w:t>
      </w:r>
    </w:p>
    <w:p w:rsidR="00343B56" w:rsidRPr="002D5BED" w:rsidRDefault="00343B56">
      <w:pPr>
        <w:rPr>
          <w:sz w:val="28"/>
          <w:szCs w:val="28"/>
        </w:rPr>
      </w:pPr>
    </w:p>
    <w:sectPr w:rsidR="00343B56" w:rsidRPr="002D5BED" w:rsidSect="00343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BED"/>
    <w:rsid w:val="0024311D"/>
    <w:rsid w:val="002642F2"/>
    <w:rsid w:val="002D5BED"/>
    <w:rsid w:val="00343B56"/>
    <w:rsid w:val="00730562"/>
    <w:rsid w:val="00946241"/>
    <w:rsid w:val="009A7E76"/>
    <w:rsid w:val="00C429D5"/>
    <w:rsid w:val="00C82884"/>
    <w:rsid w:val="00E62D16"/>
    <w:rsid w:val="00F97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BED"/>
    <w:rPr>
      <w:b/>
      <w:bCs/>
    </w:rPr>
  </w:style>
  <w:style w:type="character" w:styleId="a5">
    <w:name w:val="Hyperlink"/>
    <w:basedOn w:val="a0"/>
    <w:uiPriority w:val="99"/>
    <w:semiHidden/>
    <w:unhideWhenUsed/>
    <w:rsid w:val="002D5BED"/>
    <w:rPr>
      <w:color w:val="0000FF"/>
      <w:u w:val="single"/>
    </w:rPr>
  </w:style>
</w:styles>
</file>

<file path=word/webSettings.xml><?xml version="1.0" encoding="utf-8"?>
<w:webSettings xmlns:r="http://schemas.openxmlformats.org/officeDocument/2006/relationships" xmlns:w="http://schemas.openxmlformats.org/wordprocessingml/2006/main">
  <w:divs>
    <w:div w:id="8413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sr.nso.ru/page/1343" TargetMode="External"/><Relationship Id="rId5" Type="http://schemas.openxmlformats.org/officeDocument/2006/relationships/hyperlink" Target="https://mtsr.nso.ru/page/1343" TargetMode="External"/><Relationship Id="rId4" Type="http://schemas.openxmlformats.org/officeDocument/2006/relationships/hyperlink" Target="https://mtsr.nso.ru/page/1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2022-02-24T02:31:00Z</dcterms:created>
  <dcterms:modified xsi:type="dcterms:W3CDTF">2022-02-24T02:53:00Z</dcterms:modified>
</cp:coreProperties>
</file>