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906"/>
      </w:tblGrid>
      <w:tr w:rsidR="000B409F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B409F" w:rsidRDefault="004F271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123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940"/>
        <w:gridCol w:w="222"/>
        <w:gridCol w:w="1500"/>
        <w:gridCol w:w="2461"/>
      </w:tblGrid>
      <w:tr w:rsidR="000B409F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</w:tr>
      <w:tr w:rsidR="000B409F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0B409F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0B409F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января 2025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0B409F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 субъекта бюджетной отчетности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ПБС</w:t>
            </w:r>
          </w:p>
        </w:tc>
      </w:tr>
      <w:tr w:rsidR="000B409F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получатель бюджетных средств, главный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0"/>
              </w:rPr>
            </w:pPr>
          </w:p>
        </w:tc>
      </w:tr>
      <w:tr w:rsidR="000B409F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34831675</w:t>
            </w:r>
          </w:p>
        </w:tc>
      </w:tr>
      <w:tr w:rsidR="000B409F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0"/>
              </w:rPr>
            </w:pPr>
          </w:p>
        </w:tc>
      </w:tr>
      <w:tr w:rsidR="000B409F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0"/>
              </w:rPr>
            </w:pPr>
          </w:p>
        </w:tc>
      </w:tr>
      <w:tr w:rsidR="000B409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государственное казенное учреждение Новосибирской области «Центр социальной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поддержки населения Краснозерского района»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0B409F" w:rsidRDefault="004F27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</w:tr>
      <w:tr w:rsidR="000B409F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</w:tr>
      <w:tr w:rsidR="000B409F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субъекта РФ</w:t>
            </w:r>
          </w:p>
          <w:p w:rsidR="000B409F" w:rsidRDefault="004F2714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50000000</w:t>
            </w:r>
          </w:p>
        </w:tc>
      </w:tr>
      <w:tr w:rsidR="000B409F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</w:tr>
      <w:tr w:rsidR="000B409F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ОКЕИ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0B409F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</w:tr>
      <w:tr w:rsidR="000B409F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</w:tr>
    </w:tbl>
    <w:p w:rsidR="000B409F" w:rsidRDefault="004F2714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1 «Организационная структура субъекта бюджетной отчетности»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Государственное казенное учреждение Новосибирской области  «Центр социальной поддержки населения Краснозерского района»  создано в соответствии с распоряжением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Новосибирской области от 30 ноября 2018 года № 479-рп "О создании государственного казенного учреждения Новосибирской области «Центр социальной поддержки населения Краснозерского района». Учреждение образовано 11.12.2018г.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наименование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- государственное казенное учреждение Новосибирской области "Центр социальной поддержки населения Краснозерского района";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сокращенное -  ГКУ НСО ЦСПН Краснозерского района.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Юридический и фактический адрес: РФ, Новосибирская область, Краснозерск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район, р.п. Краснозерское, ул. Ленина, д.32.</w:t>
      </w:r>
    </w:p>
    <w:p w:rsidR="000B409F" w:rsidRDefault="004F2714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Организационно-правовая форма: государственное казенное учреждение.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казенное учреждение Новосибирской области  «Центр социальной поддержки населения Краснозерского района»  (далее -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осуществляет свою деятельность согласно Уставу государственного казенного учреждения Новосибирской области  «Центр социальной поддержки населения Краснозерского района». В 2022г. были внесены изменения в Устав, его новая редакция  утверждена приказом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истерства труда и социального развития Новосибирской области  от 21.11.2022г. № 1629.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отчетную дату виды деятельности учреждения не менялись, новые не добавлялись.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является юридическим лицом, имеет самостоятельный баланс, имеет лицевые счета в Министерстве финансов и налоговой политики Новосибирской области, имеет круглую печать с изображением герба Новосибирской области со своим наименованием, штамп, блан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установленного образца. 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создан для оказания государственных услуг, выполнения работ и (или)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власти Новосибирской области (государственных органов) в сфере предоставления мер социальной поддержки населению.</w:t>
      </w:r>
    </w:p>
    <w:p w:rsidR="000B409F" w:rsidRDefault="004F2714">
      <w:pPr>
        <w:spacing w:before="240" w:after="24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В соответствии с  Уставом учреждение осуществляет в установленном законодательством Российской Федерации порядке следующие виды 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сти:  </w:t>
      </w:r>
    </w:p>
    <w:p w:rsidR="000B409F" w:rsidRDefault="004F2714">
      <w:pPr>
        <w:spacing w:before="240" w:after="24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предоставление в случаях и порядке, установленных действующим законодательством, государственных услуг в сфере социальной поддержки населения;</w:t>
      </w:r>
    </w:p>
    <w:p w:rsidR="000B409F" w:rsidRDefault="004F2714">
      <w:pPr>
        <w:spacing w:before="240" w:after="24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формирование реестров  на перечисление средств, предоставляемых в виде субвенций из федерального бюдже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субъектам Российской Федерации на реализацию полномочий по выплате гражданам государственных единовременных пособий и ежемесячных денежных компенсаций при возникновении поствакцинальных осложнений;</w:t>
      </w:r>
    </w:p>
    <w:p w:rsidR="000B409F" w:rsidRDefault="004F2714">
      <w:pPr>
        <w:spacing w:before="240" w:after="24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предоставление услуг в рамках реализации государствен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программ Новосибирской области;</w:t>
      </w:r>
    </w:p>
    <w:p w:rsidR="000B409F" w:rsidRDefault="004F2714">
      <w:pPr>
        <w:spacing w:before="240" w:after="24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дополнительных проверок документов, представленных для назначения и выплаты пособий, компенсаций и других социальных выплат (при сомнении в их подлинности или достоверности представленной в них информации).</w:t>
      </w:r>
    </w:p>
    <w:p w:rsidR="000B409F" w:rsidRDefault="004F2714">
      <w:pPr>
        <w:spacing w:before="240" w:after="24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автоматизированного персонифицированного учета в отношении граждан, получающих меры социальной поддержки и социальные выплаты;</w:t>
      </w:r>
    </w:p>
    <w:p w:rsidR="000B409F" w:rsidRDefault="004F2714">
      <w:pPr>
        <w:spacing w:before="240" w:after="24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оказание консультативной помощи гражданам по вопросам, входящим в предмет деятельности Учреждения;</w:t>
      </w:r>
    </w:p>
    <w:p w:rsidR="000B409F" w:rsidRDefault="004F2714">
      <w:pPr>
        <w:spacing w:before="240" w:after="24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расчета потребности бюджетных средств, учета целевых расходов бюджетных средств, направляемых на оказание мер социальной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поддержки, социальной помощи, социальных выплат, отчетности по их использованию;</w:t>
      </w:r>
    </w:p>
    <w:p w:rsidR="000B409F" w:rsidRDefault="004F2714">
      <w:pPr>
        <w:spacing w:before="240" w:after="24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писем, жалоб, заявлений и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граждан, организаций и принятие мер к устранению выявленных недостатков в деятельности Учреждения;</w:t>
      </w:r>
    </w:p>
    <w:p w:rsidR="000B409F" w:rsidRDefault="004F2714">
      <w:pPr>
        <w:spacing w:before="240" w:after="24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осуществление в соответствии с действующим законодательством функций государственного заказчика;</w:t>
      </w:r>
    </w:p>
    <w:p w:rsidR="000B409F" w:rsidRDefault="004F2714">
      <w:pPr>
        <w:spacing w:before="240" w:after="24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осуществление подготовки, выдачи документов, подтверж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дающих право на получение социальных гарантий.</w:t>
      </w:r>
    </w:p>
    <w:p w:rsidR="000B409F" w:rsidRDefault="004F2714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периоде директором являлась Данилюкова Тамара Николаевна,  главным бухгалтером Волько Тамара Юрьевна.</w:t>
      </w:r>
    </w:p>
    <w:p w:rsidR="000B409F" w:rsidRDefault="004F2714">
      <w:pPr>
        <w:spacing w:before="240" w:after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Раздел 2 «Результаты деятельности субъекта бюджетной отчетности».</w:t>
      </w:r>
    </w:p>
    <w:p w:rsidR="000B409F" w:rsidRDefault="004F2714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отчетную дату общее количе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получателей мер социальной поддержки и социальных выплат в Краснозерском районе составило 11,4 тыс. чел.</w:t>
      </w:r>
    </w:p>
    <w:p w:rsidR="000B409F" w:rsidRDefault="004F2714">
      <w:pPr>
        <w:spacing w:before="240" w:after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суммах выплат и категорий получателей представлена в таблице:</w:t>
      </w:r>
    </w:p>
    <w:tbl>
      <w:tblPr>
        <w:tblW w:w="9791" w:type="dxa"/>
        <w:tblInd w:w="98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13"/>
        <w:gridCol w:w="2034"/>
        <w:gridCol w:w="1499"/>
        <w:gridCol w:w="2045"/>
      </w:tblGrid>
      <w:tr w:rsidR="000B409F">
        <w:trPr>
          <w:trHeight w:val="780"/>
        </w:trPr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Численность получателей, тыс. чел.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Сумма, тыс.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руб.</w:t>
            </w:r>
          </w:p>
        </w:tc>
      </w:tr>
      <w:tr w:rsidR="000B409F">
        <w:trPr>
          <w:trHeight w:val="780"/>
        </w:trPr>
        <w:tc>
          <w:tcPr>
            <w:tcW w:w="4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предыдущий год</w:t>
            </w:r>
          </w:p>
        </w:tc>
      </w:tr>
      <w:tr w:rsidR="000B409F">
        <w:trPr>
          <w:trHeight w:val="945"/>
        </w:trPr>
        <w:tc>
          <w:tcPr>
            <w:tcW w:w="4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 по оплате жилого помещения и коммунальных услуг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149 599,5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135 552,8</w:t>
            </w:r>
          </w:p>
        </w:tc>
      </w:tr>
      <w:tr w:rsidR="000B409F">
        <w:trPr>
          <w:trHeight w:val="945"/>
        </w:trPr>
        <w:tc>
          <w:tcPr>
            <w:tcW w:w="4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1259,4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2 018,5</w:t>
            </w:r>
          </w:p>
        </w:tc>
      </w:tr>
      <w:tr w:rsidR="000B409F">
        <w:trPr>
          <w:trHeight w:val="630"/>
        </w:trPr>
        <w:tc>
          <w:tcPr>
            <w:tcW w:w="4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и единовременные денежные выплаты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31 696,6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30 373,1</w:t>
            </w:r>
          </w:p>
        </w:tc>
      </w:tr>
      <w:tr w:rsidR="000B409F">
        <w:trPr>
          <w:trHeight w:val="315"/>
        </w:trPr>
        <w:tc>
          <w:tcPr>
            <w:tcW w:w="4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семьям, имеющим детей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32 210,5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105 678,6</w:t>
            </w:r>
          </w:p>
        </w:tc>
      </w:tr>
      <w:tr w:rsidR="000B409F">
        <w:trPr>
          <w:trHeight w:val="315"/>
        </w:trPr>
        <w:tc>
          <w:tcPr>
            <w:tcW w:w="4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адресная социальная помощь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13 718,5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13 835,1</w:t>
            </w:r>
          </w:p>
        </w:tc>
      </w:tr>
      <w:tr w:rsidR="000B409F">
        <w:trPr>
          <w:trHeight w:val="630"/>
        </w:trPr>
        <w:tc>
          <w:tcPr>
            <w:tcW w:w="4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предоставленная на основании социального контракта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11 542,5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12 614,2</w:t>
            </w:r>
          </w:p>
        </w:tc>
      </w:tr>
      <w:tr w:rsidR="000B409F">
        <w:trPr>
          <w:trHeight w:val="315"/>
        </w:trPr>
        <w:tc>
          <w:tcPr>
            <w:tcW w:w="4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выплаты гражданам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6 862,4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60 542,8</w:t>
            </w:r>
          </w:p>
        </w:tc>
      </w:tr>
      <w:tr w:rsidR="000B409F">
        <w:trPr>
          <w:trHeight w:val="315"/>
        </w:trPr>
        <w:tc>
          <w:tcPr>
            <w:tcW w:w="4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235 346,9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348 000,9</w:t>
            </w:r>
          </w:p>
        </w:tc>
      </w:tr>
    </w:tbl>
    <w:p w:rsidR="000B409F" w:rsidRDefault="004F2714">
      <w:pPr>
        <w:spacing w:before="240" w:after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0B409F" w:rsidRDefault="004F2714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норм Федерального закона от 05.04.2013 N 44-ФЗ «О контрактной системе в сфере закупок товаров, работ, услуг для обеспечения государственных и муниципальных нужд» (далее - Закон N 44-ФЗ) Учреждением в отчетном периоде заключено 54 контракта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общую стоимость 2 694 825,31 руб., в том числе 6 контрактов - с единственным поставщиком (подрядчиком, исполнителем) на сумму 1 200 081,74руб., 47  контрактов  заключено на основании </w:t>
      </w:r>
      <w:hyperlink r:id="rId4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п.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 4 ч. 1 ст. 93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N 44-ФЗ (закупки до 600 000,00 руб.) – 1467628,17 руб., по результатам конкурентных процедур (электронный аукцион) 1 контракт на сумму  27115,40 руб.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0B409F" w:rsidRDefault="004F2714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выполнения функций учреждения по предоставлению мер социальной поддержки населению  установлена штатная численность в количестве 16  штатных единиц. Среднесписочная численность за отчетный период составила 15,8 человек. На 31 декабря 2024г.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свободных вакансий нет. Средняя заработная плата сотрудников за 2024 год составила 60 056,27 руб. Обязанности по ведению бюджетного учета выполняли 2 сотрудника.</w:t>
      </w:r>
    </w:p>
    <w:p w:rsidR="000B409F" w:rsidRDefault="004F2714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сотрудники учреждения  прошли курсы повышения квалификации. Расходы на обучение составили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32 550руб.</w:t>
      </w:r>
    </w:p>
    <w:p w:rsidR="000B409F" w:rsidRDefault="004F2714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балансе учреждения по состоянию на 01.01.2025г. числится имущество на общую сумму 2406609,92руб.  В отчетном периоде учреждением  приобретены основные средства на сумму 935 220,00руб. В 2024г. по причине морального и физического износа списан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имущество: оргтехника на сумму   409 370,03руб., производственный и хозяйственный инвентарь 46 684,60 руб. Для бесперебойной работы учреждения своевременно приобретались материальные запасы (бумага, канцелярские принадлежности, картриджи, ГСМ). </w:t>
      </w:r>
    </w:p>
    <w:p w:rsidR="000B409F" w:rsidRDefault="004F2714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оянию на отчетную дату учреждение полностью обеспечено основными фондами. </w:t>
      </w:r>
    </w:p>
    <w:p w:rsidR="000B409F" w:rsidRDefault="004F2714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износа основных средств составляет 100%.</w:t>
      </w:r>
    </w:p>
    <w:p w:rsidR="000B409F" w:rsidRDefault="004F2714">
      <w:pPr>
        <w:spacing w:before="240" w:after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Раздел 3 «Анализ отчета об исполнении бюджета субъектом бюджетной отчетности».</w:t>
      </w:r>
    </w:p>
    <w:p w:rsidR="000B409F" w:rsidRDefault="004F2714">
      <w:pPr>
        <w:spacing w:before="240" w:after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На отчетный год учреждению утвержде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ассигнования в сумме 254 179 505,60  руб., из них на содержание учреждения – 16 796 069,84руб.</w:t>
      </w:r>
    </w:p>
    <w:p w:rsidR="000B409F" w:rsidRDefault="004F2714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Кассовый расход за отчетный период составил  254 129 305,98  руб. (99,98% от ассигнований), в том числе по средствам, источником которых являются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федерального бюджета  31 541 753,81 руб. (99,99 %). Кассовый расход на содержание учреждения – 16 786 645,43 руб.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текущем году было принято бюджетных обязательств на сумму 254 149 964,69 руб., денежных обязательств – 254 129 304,98 руб. По строке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 раздела 3 графы 7  ф.0503128  отражены обязательства, подлежащие исполнению в следующем финансовом году в сумме 2 567 488,24 руб., в том числе сумма сформированного резерва оплаты отпусков за отработанное время счет 1 401 60 000 «Резервы предстоящих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ходов» в сумме 192 752,48 руб.</w:t>
      </w:r>
    </w:p>
    <w:p w:rsidR="000B409F" w:rsidRDefault="004F2714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Сверх утвержденных ассигнований текущего года бюджетных и денежных обязательств не принято.</w:t>
      </w:r>
    </w:p>
    <w:p w:rsidR="000B409F" w:rsidRDefault="004F2714">
      <w:pPr>
        <w:spacing w:before="240" w:after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Потребность в мерах социальной поддержки удовлетворена полностью.</w:t>
      </w:r>
    </w:p>
    <w:p w:rsidR="000B409F" w:rsidRDefault="004F2714">
      <w:pPr>
        <w:spacing w:before="240" w:after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Раздел 4 «Анализ показателей бухгалтерско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отчетности субъекта бюджетной отчетности».</w:t>
      </w:r>
    </w:p>
    <w:p w:rsidR="000B409F" w:rsidRDefault="004F2714">
      <w:pPr>
        <w:spacing w:before="240" w:after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В Балансе (форма 0503130) по счету 1 201 35 000 «Денежные документы» отражены конверты маркированные и марки на сумму  13414 руб. </w:t>
      </w:r>
    </w:p>
    <w:p w:rsidR="000B409F" w:rsidRDefault="004F2714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По счету 1 401 60 000 «Резервы предстоящих расходов» отражена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сформированного резерва предстоящей оплаты отпусков за фактически отработанное время и компенсаций за неиспользованный отпуск, а также страховые взносы  в размере 192 752,48руб.</w:t>
      </w:r>
    </w:p>
    <w:p w:rsidR="000B409F" w:rsidRDefault="004F2714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На забалансовом счете 03 «Бланки строгой отчетности» учитываю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бланки удостоверений и бланки транспортных требований, по условной оценке: один бланк - один рубль в количестве 623 шт.</w:t>
      </w:r>
    </w:p>
    <w:p w:rsidR="000B409F" w:rsidRDefault="004F2714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На забалансовом счете 09 «Запасные части к транспортным средствам, выданные взамен изношенных» отражены стоимость автошин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дисками и аккумулятор в сумме 58 630 руб.</w:t>
      </w:r>
    </w:p>
    <w:p w:rsidR="000B409F" w:rsidRDefault="004F2714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На забалансовом счете 20 «Задолженность, невостребованная кредиторами» отражена задолженность в сумме 1 166 003,49руб., в том числе задолженность по выплате ежемесячных пособий на ребенка, образовавшая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за период 1996-1999 годы, - 1 166 003,49 руб. Движения в 2024г. по счету не было. </w:t>
      </w:r>
    </w:p>
    <w:p w:rsidR="000B409F" w:rsidRDefault="004F2714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На забалансовом счете 30 «расчеты по исполнению денежных обязательств через третьих лиц» отражены расчеты по выплате пособий через отделения почты Россия в сумме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1 391 992,23 руб.       </w:t>
      </w:r>
    </w:p>
    <w:p w:rsidR="000B409F" w:rsidRDefault="004F2714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на 01.01.2025 в </w:t>
      </w:r>
      <w:hyperlink r:id="rId5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форме 0503169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отражена дебиторская задолженность Учреждения на общую сумму 1780 409,35 руб., в том числе:</w:t>
      </w:r>
    </w:p>
    <w:tbl>
      <w:tblPr>
        <w:tblW w:w="9710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19"/>
        <w:gridCol w:w="1701"/>
        <w:gridCol w:w="1701"/>
        <w:gridCol w:w="2089"/>
      </w:tblGrid>
      <w:tr w:rsidR="000B409F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сче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бюджетного учета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Задолженность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отчетную дату</w:t>
            </w:r>
          </w:p>
        </w:tc>
        <w:tc>
          <w:tcPr>
            <w:tcW w:w="2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Причины наличия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задолженности</w:t>
            </w:r>
          </w:p>
        </w:tc>
      </w:tr>
      <w:tr w:rsidR="000B409F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1 206 21 000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3291,98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Авансовый платеж по услугам связи перед ПАО «Ростелеком» предусмотренный контрактом</w:t>
            </w:r>
          </w:p>
        </w:tc>
      </w:tr>
      <w:tr w:rsidR="000B409F">
        <w:trPr>
          <w:trHeight w:val="2153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пособиям по социальной помощи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1 206 62 000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1 391 992,23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Остаток средств на почте России для своевременной выплаты до 15 января 2025г.</w:t>
            </w:r>
          </w:p>
        </w:tc>
      </w:tr>
      <w:tr w:rsidR="000B409F">
        <w:trPr>
          <w:trHeight w:val="2153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 единому налоговому платежу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1 303 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385 125,14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Положительное сальдо по единому налоговому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платежу  в части платежей по страховым взносам за декабрь 2024г.</w:t>
            </w:r>
          </w:p>
        </w:tc>
      </w:tr>
      <w:tr w:rsidR="000B409F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1 780 409,35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0B409F" w:rsidRDefault="004F2714">
      <w:pPr>
        <w:spacing w:before="240" w:after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B409F" w:rsidRDefault="004F2714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на 01.01.2025 в </w:t>
      </w:r>
      <w:hyperlink r:id="rId6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форме 0503169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отражена кредиторская задолженность Учреждения на общую сумму 405 713,26 руб., в том числе:</w:t>
      </w:r>
    </w:p>
    <w:p w:rsidR="000B409F" w:rsidRDefault="004F2714">
      <w:pPr>
        <w:spacing w:before="240" w:after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 </w:t>
      </w:r>
    </w:p>
    <w:tbl>
      <w:tblPr>
        <w:tblW w:w="9923" w:type="dxa"/>
        <w:tblInd w:w="-34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53"/>
        <w:gridCol w:w="2126"/>
        <w:gridCol w:w="1455"/>
        <w:gridCol w:w="2089"/>
      </w:tblGrid>
      <w:tr w:rsidR="000B409F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счета бюджетного учета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Задолженность на отчетную дату</w:t>
            </w:r>
          </w:p>
        </w:tc>
        <w:tc>
          <w:tcPr>
            <w:tcW w:w="2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Причины наличия задолженности</w:t>
            </w:r>
          </w:p>
        </w:tc>
      </w:tr>
      <w:tr w:rsidR="000B409F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 услугам связи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1 302 21 000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1028,40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Принят к учету счет за услуги Интернета ПАО «Ростелеком»  за декабрь 2024г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B409F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 пособиям по социальной помощи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1 302 62 000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37865,11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Неоплата пособия через почту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России по причине отсутствия получателей на момент выплаты</w:t>
            </w:r>
          </w:p>
        </w:tc>
      </w:tr>
      <w:tr w:rsidR="000B409F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Взносы по обязательному социальному страхованию 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1 303 15 000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366 819,75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Начислены страховые взносы за декабрь 2024г. </w:t>
            </w:r>
          </w:p>
        </w:tc>
      </w:tr>
      <w:tr w:rsidR="000B409F">
        <w:trPr>
          <w:trHeight w:val="541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405 713,26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B409F" w:rsidRDefault="004F2714">
      <w:pPr>
        <w:spacing w:before="240" w:after="240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409F" w:rsidRDefault="004F2714">
      <w:pPr>
        <w:spacing w:before="240" w:after="240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Просроченной дебиторской и кредиторской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задолженности по состоянию на 01.01.2025 года нет.</w:t>
      </w:r>
    </w:p>
    <w:p w:rsidR="000B409F" w:rsidRDefault="004F2714">
      <w:pPr>
        <w:spacing w:before="240" w:after="240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периоде Учреждением выявлялась переплата пособий прошлых лет по вине граждан, получивших пособие, которая отражена в Сведениях об изменении остатков валюты баланса (</w:t>
      </w:r>
      <w:hyperlink r:id="rId7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ф. 0503173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 коду 03.5.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690" w:type="dxa"/>
        <w:tblInd w:w="99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58"/>
        <w:gridCol w:w="1170"/>
        <w:gridCol w:w="1549"/>
        <w:gridCol w:w="1502"/>
        <w:gridCol w:w="1337"/>
        <w:gridCol w:w="1379"/>
        <w:gridCol w:w="1195"/>
      </w:tblGrid>
      <w:tr w:rsidR="000B409F">
        <w:trPr>
          <w:trHeight w:val="300"/>
        </w:trPr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гр.6 по Ф. 0503173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руб.</w:t>
            </w:r>
          </w:p>
        </w:tc>
        <w:tc>
          <w:tcPr>
            <w:tcW w:w="68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0B409F">
        <w:trPr>
          <w:trHeight w:val="557"/>
        </w:trPr>
        <w:tc>
          <w:tcPr>
            <w:tcW w:w="1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409F" w:rsidRDefault="000B409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 – несвоевременное поступление первичных учетных документов,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B409F" w:rsidRDefault="004F2714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03.2 – несвоевременное отражение фактов хозяйственной жизни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регистрах бухгалтерского учета,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03.3 – </w:t>
            </w:r>
          </w:p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 в применении счетов бухгалтерского учета, руб.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03.4 – </w:t>
            </w:r>
          </w:p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ошибки, допущенные при отражении бухгалтерских записей на основании первичного учетного документа (за исключением ошибок в применении счетов бухгалте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рского учета), руб.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03.5 – иные, руб.</w:t>
            </w:r>
          </w:p>
        </w:tc>
      </w:tr>
      <w:tr w:rsidR="000B409F">
        <w:trPr>
          <w:trHeight w:val="900"/>
        </w:trPr>
        <w:tc>
          <w:tcPr>
            <w:tcW w:w="1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Дебиторская задолженность по доходам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118 136,93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118 136,93</w:t>
            </w:r>
          </w:p>
        </w:tc>
      </w:tr>
      <w:tr w:rsidR="000B409F">
        <w:trPr>
          <w:trHeight w:val="219"/>
        </w:trPr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</w:tr>
    </w:tbl>
    <w:p w:rsidR="000B409F" w:rsidRDefault="004F2714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Дебиторская задолженность прошлых лет возращена в доход бюджета. 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Балансе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hyperlink r:id="rId8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ф. 0503130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в Отчете о финансовых результатах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hyperlink r:id="rId9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ф. 0503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121) отражены показатели доходов и расходов,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ивов и обязательств. 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409F" w:rsidRDefault="004F27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123" w:type="dxa"/>
        <w:tblInd w:w="99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41"/>
        <w:gridCol w:w="1977"/>
        <w:gridCol w:w="1541"/>
        <w:gridCol w:w="1593"/>
        <w:gridCol w:w="1370"/>
        <w:gridCol w:w="1801"/>
      </w:tblGrid>
      <w:tr w:rsidR="000B409F">
        <w:trPr>
          <w:trHeight w:val="300"/>
        </w:trPr>
        <w:tc>
          <w:tcPr>
            <w:tcW w:w="83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показателях по сегментам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</w:tr>
      <w:tr w:rsidR="000B409F">
        <w:trPr>
          <w:trHeight w:val="645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Сегменты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13A61"/>
                <w:sz w:val="24"/>
                <w:szCs w:val="24"/>
              </w:rPr>
              <w:t>Доходы,</w:t>
            </w:r>
          </w:p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13A61"/>
                <w:sz w:val="24"/>
                <w:szCs w:val="24"/>
              </w:rPr>
              <w:t>руб.</w:t>
            </w:r>
          </w:p>
        </w:tc>
        <w:tc>
          <w:tcPr>
            <w:tcW w:w="1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</w:t>
            </w:r>
          </w:p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Активы, руб.</w:t>
            </w:r>
          </w:p>
        </w:tc>
        <w:tc>
          <w:tcPr>
            <w:tcW w:w="1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Обязательства, руб.</w:t>
            </w:r>
          </w:p>
        </w:tc>
      </w:tr>
      <w:tr w:rsidR="000B409F">
        <w:trPr>
          <w:trHeight w:val="1785"/>
        </w:trPr>
        <w:tc>
          <w:tcPr>
            <w:tcW w:w="1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НСО ЦСПН Краснозерского района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единицы — государственные и муниципальные органы, казенные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учреждения, внебюджетные фонды, иные ПБС;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51427,68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254 405 857,23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1 793 823,35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701 321,10</w:t>
            </w:r>
          </w:p>
        </w:tc>
      </w:tr>
      <w:tr w:rsidR="000B409F">
        <w:trPr>
          <w:trHeight w:val="840"/>
        </w:trPr>
        <w:tc>
          <w:tcPr>
            <w:tcW w:w="1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9F" w:rsidRDefault="000B409F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 автономные учреждения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B409F">
        <w:trPr>
          <w:trHeight w:val="1485"/>
        </w:trPr>
        <w:tc>
          <w:tcPr>
            <w:tcW w:w="1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9F" w:rsidRDefault="000B409F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внебюджетные государственные единицы — госкорпорации, ГУП и МУП, публично-правовые компании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B409F" w:rsidRDefault="004F2714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0B409F" w:rsidRDefault="004F2714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5 «Прочие вопросы деятельности субъекта бюджетной отчетности».</w:t>
      </w:r>
    </w:p>
    <w:p w:rsidR="000B409F" w:rsidRDefault="004F2714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Бухгалтерский учет в учреждении организован в соответствии с приказами Министерства финансов Российской Федерации от 01.12.2010г. №157н «Об утверждении единого плана счетов бухг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 его применению», от 06.12.2012г. № 162н «Об утверждении плана счетов бюджетного учета и инструкции по его применению», Федеральным Законом от 06.12.2011г. № 402-ФЗ «О бухгалтерском учете», приказом Минфина России от 28 декабря 2010г. №191н «Об утвержд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Инструкции о порядке составления и представления годовой, квартальной и месячной отчетности об исполнении бюджетов бюджетной системы Российской Федерации», Приказом Минфина России от 29 ноября 2017 г.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209н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применения классифи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 операций сектора государственного управления».</w:t>
      </w:r>
    </w:p>
    <w:p w:rsidR="000B409F" w:rsidRDefault="004F2714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 Учет ведется автоматизированным способом с использованием программного продукта «1С:Предприятие».</w:t>
      </w:r>
    </w:p>
    <w:p w:rsidR="000B409F" w:rsidRDefault="004F2714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Особенности ведения бюджетного учета учреждения отражены в таблице № 4.</w:t>
      </w:r>
    </w:p>
    <w:p w:rsidR="000B409F" w:rsidRDefault="004F2714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Аналитический учет расчетов по пособиям компенсациям и социальным выплатам в бюджетном учете ведется в разрезе кредитных организаций и организаций, осуществляющих доставку выплат.</w:t>
      </w:r>
    </w:p>
    <w:p w:rsidR="000B409F" w:rsidRDefault="004F2714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В отчетном году проведена инвентаризация активов и бюджетных обязат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ельств. Излишков и недостач не обнаружено. </w:t>
      </w:r>
    </w:p>
    <w:p w:rsidR="000B409F" w:rsidRDefault="004F2714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Ввиду отсутствия числовых значений показателей в состав бюджетной отчетности не включены формы, которые перечислены в таблице №16 "Прочие вопросы деятельности субъекта бюджетной отчетности" </w:t>
      </w:r>
    </w:p>
    <w:p w:rsidR="000B409F" w:rsidRDefault="004F2714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0B409F" w:rsidRDefault="004F2714">
      <w:r>
        <w:t> </w:t>
      </w:r>
      <w:r>
        <w:rPr>
          <w:color w:val="000000"/>
        </w:rPr>
        <w:t>%FILE_CONTENT%</w:t>
      </w:r>
    </w:p>
    <w:p w:rsidR="000B409F" w:rsidRDefault="004F271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8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299"/>
        <w:gridCol w:w="4353"/>
        <w:gridCol w:w="2158"/>
      </w:tblGrid>
      <w:tr w:rsidR="000B409F"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Данилюкова Тамара Николаевна</w:t>
            </w:r>
          </w:p>
        </w:tc>
      </w:tr>
      <w:tr w:rsidR="000B409F">
        <w:trPr>
          <w:trHeight w:val="28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0B409F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B409F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0B409F">
            <w:pPr>
              <w:rPr>
                <w:sz w:val="24"/>
              </w:rPr>
            </w:pPr>
          </w:p>
        </w:tc>
      </w:tr>
      <w:tr w:rsidR="000B409F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0B409F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0B409F">
            <w:pPr>
              <w:rPr>
                <w:sz w:val="24"/>
              </w:rPr>
            </w:pPr>
          </w:p>
        </w:tc>
      </w:tr>
      <w:tr w:rsidR="000B409F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Волько Тамара Юрьевна</w:t>
            </w:r>
          </w:p>
        </w:tc>
      </w:tr>
      <w:tr w:rsidR="000B409F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0B409F">
        <w:trPr>
          <w:trHeight w:val="449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4F271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"____"   ____________ 20____г.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0B409F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09F" w:rsidRDefault="000B409F">
            <w:pPr>
              <w:rPr>
                <w:sz w:val="24"/>
              </w:rPr>
            </w:pPr>
          </w:p>
        </w:tc>
      </w:tr>
    </w:tbl>
    <w:p w:rsidR="000B409F" w:rsidRDefault="004F2714">
      <w:r>
        <w:rPr>
          <w:rFonts w:ascii="Times New Roman" w:eastAsia="Times New Roman" w:hAnsi="Times New Roman" w:cs="Times New Roman"/>
          <w:sz w:val="24"/>
          <w:szCs w:val="24"/>
        </w:rPr>
        <w:t>Документ подписан электронной подписью. Дата представления 21.02.2025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финансово-экономической службы(Волько Тамара Юрьевна, Сертификат: 30EE13EAA726F6C3556E01E312BE9F6D, Действителен: с 25.12.2023 по 19.03.2025),Главный бухгалтер(Волько Тамара Юрьевна, Сертификат: 30EE13EAA726F6C3556E01E312BE9F6D, Действителен: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25.12.2023 по 19.03.2025),Руководитель(Данилюкова Тамара Николаевна,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Сертификат: 2998B050476C15E27B47F640A9023453, Действителен: с 25.12.2023 по 19.03.2025)        </w:t>
      </w:r>
    </w:p>
    <w:sectPr w:rsidR="000B409F" w:rsidSect="000B409F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20"/>
  <w:characterSpacingControl w:val="doNotCompress"/>
  <w:compat>
    <w:useFELayout/>
  </w:compat>
  <w:rsids>
    <w:rsidRoot w:val="000B409F"/>
    <w:rsid w:val="000B409F"/>
    <w:rsid w:val="004F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0B409F"/>
  </w:style>
  <w:style w:type="character" w:styleId="a3">
    <w:name w:val="Hyperlink"/>
    <w:rsid w:val="000B409F"/>
    <w:rPr>
      <w:color w:val="0000FF"/>
      <w:u w:val="single"/>
    </w:rPr>
  </w:style>
  <w:style w:type="table" w:styleId="1">
    <w:name w:val="Table Simple 1"/>
    <w:basedOn w:val="a1"/>
    <w:rsid w:val="000B40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2181732/50313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/redirect/12181732/503173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/redirect/12181732/503169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demo.garant.ru/document/redirect/12181732/503169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demo.garant.ru/document/redirect/70353464/9314" TargetMode="External"/><Relationship Id="rId9" Type="http://schemas.openxmlformats.org/officeDocument/2006/relationships/hyperlink" Target="http://demo.garant.ru/document/redirect/12181732/5031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2386</Words>
  <Characters>13606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2025-03-26T05:16:00Z</dcterms:created>
  <dcterms:modified xsi:type="dcterms:W3CDTF">2025-03-26T05:16:00Z</dcterms:modified>
</cp:coreProperties>
</file>