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theme/theme1.xml" ContentType="application/vnd.openxmlformats-officedocument.theme+xml"/>
</Types>
</file>

<file path=_rels/.rels>&#65279;<?xml version="1.0" encoding="utf-8"?><Relationships xmlns="http://schemas.openxmlformats.org/package/2006/relationships"><Relationship Id="R1" Type="http://schemas.openxmlformats.org/officeDocument/2006/relationships/officeDocument" Target="/word/document.xml" /><Relationship Id="coreR1" Type="http://schemas.openxmlformats.org/package/2006/relationships/metadata/core-properties" Target="/docProps/core.xml" /><Relationship Id="appR1" Type="http://schemas.openxmlformats.org/officeDocument/2006/relationships/extended-properties" Target="/docProps/app.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xmlns:w14="http://schemas.microsoft.com/office/word/2010/wordml" xmlns:w15="http://schemas.microsoft.com/office/word/2012/wordml" xmlns:cx1="http://schemas.microsoft.com/office/drawing/2015/9/8/chartex" xmlns:cx2="http://schemas.microsoft.com/office/drawing/2015/10/21/chartex" mc:Ignorable="wp14 w14 w15">
  <w:body>
    <w:tbl>
      <w:tblPr>
        <w:tblW w:w="0" w:type="auto"/>
        <w:tblInd w:w="0" w:type="dxa"/>
        <w:tblBorders>
          <w:top w:val="none" w:sz="6" w:space="0" w:shadow="0" w:frame="0" w:color="000000"/>
          <w:left w:val="none" w:sz="6" w:space="0" w:shadow="0" w:frame="0" w:color="000000"/>
          <w:bottom w:val="none" w:sz="6" w:space="0" w:shadow="0" w:frame="0" w:color="000000"/>
          <w:right w:val="none" w:sz="6" w:space="0" w:shadow="0" w:frame="0" w:color="000000"/>
          <w:insideH w:val="none" w:sz="6" w:space="0" w:shadow="0" w:frame="0" w:color="000000"/>
          <w:insideV w:val="none" w:sz="6" w:space="0" w:shadow="0" w:frame="0" w:color="000000"/>
        </w:tblBorders>
        <w:tblLayout w:type="autofit"/>
        <w:tblCellMar>
          <w:top w:w="0" w:type="dxa"/>
          <w:left w:w="0" w:type="dxa"/>
          <w:bottom w:w="0" w:type="dxa"/>
          <w:right w:w="0" w:type="dxa"/>
        </w:tblCellMar>
      </w:tblPr>
      <w:tblGrid>
        <w:gridCol w:w="7200"/>
      </w:tblGrid>
      <w:tr>
        <w:tc>
          <w:tcPr>
            <w:tcW w:w="10772" w:type="dxa"/>
            <w:tcBorders>
              <w:top w:val="nil"/>
              <w:left w:val="nil"/>
              <w:bottom w:val="nil"/>
              <w:right w:val="nil"/>
            </w:tcBorders>
            <w:tcMar>
              <w:top w:w="0" w:type="dxa"/>
              <w:left w:w="108" w:type="dxa"/>
              <w:bottom w:w="0" w:type="dxa"/>
              <w:right w:w="108" w:type="dxa"/>
            </w:tcMar>
            <w:vAlign w:val="top"/>
            <w:hideMark/>
          </w:tcPr>
          <w:p>
            <w:pPr>
              <w:spacing w:before="0" w:after="0"/>
              <w:ind w:left="0" w:right="0"/>
              <w:jc w:val="right"/>
              <w:rPr>
                <w:rFonts w:ascii="Times New Roman" w:hAnsi="Times New Roman" w:cs="Times New Roman" w:eastAsia="Times New Roman"/>
                <w:sz w:val="24"/>
              </w:rPr>
            </w:pPr>
            <w:r>
              <w:rPr>
                <w:rFonts w:ascii="Times New Roman" w:hAnsi="Times New Roman" w:cs="Times New Roman" w:eastAsia="Times New Roman"/>
                <w:sz w:val="20"/>
                <w:szCs w:val="20"/>
              </w:rPr>
              <w:t> </w:t>
            </w:r>
          </w:p>
        </w:tc>
      </w:tr>
    </w:tbl>
    <w:p>
      <w:pPr>
        <w:spacing w:before="0" w:after="0"/>
        <w:ind w:firstLine="0" w:left="0" w:right="0"/>
        <w:outlineLvl w:val="9"/>
        <w:rPr>
          <w:rFonts w:ascii="Times New Roman" w:hAnsi="Times New Roman" w:cs="Times New Roman" w:eastAsia="Times New Roman"/>
          <w:sz w:val="24"/>
        </w:rPr>
      </w:pPr>
      <w:r>
        <w:rPr>
          <w:rFonts w:ascii="Times New Roman" w:hAnsi="Times New Roman" w:cs="Times New Roman" w:eastAsia="Times New Roman"/>
          <w:vanish w:val="1"/>
          <w:sz w:val="24"/>
          <w:szCs w:val="24"/>
        </w:rPr>
        <w:t> </w:t>
      </w:r>
    </w:p>
    <w:tbl>
      <w:tblPr>
        <w:tblW w:w="10123" w:type="dxa"/>
        <w:tblInd w:w="93" w:type="dxa"/>
        <w:tblBorders>
          <w:top w:val="nil" w:sz="0" w:space="0" w:shadow="0" w:frame="0" w:color="000000"/>
          <w:left w:val="nil" w:sz="0" w:space="0" w:shadow="0" w:frame="0" w:color="000000"/>
          <w:bottom w:val="nil" w:sz="0" w:space="0" w:shadow="0" w:frame="0" w:color="000000"/>
          <w:right w:val="nil" w:sz="0" w:space="0" w:shadow="0" w:frame="0" w:color="000000"/>
          <w:insideH w:val="none" w:sz="0" w:space="0" w:shadow="0" w:frame="0" w:color="auto"/>
          <w:insideV w:val="none" w:sz="0" w:space="0" w:shadow="0" w:frame="0" w:color="auto"/>
        </w:tblBorders>
        <w:tblLayout w:type="autofit"/>
        <w:tblCellMar>
          <w:top w:w="0" w:type="dxa"/>
          <w:left w:w="0" w:type="dxa"/>
          <w:bottom w:w="0" w:type="dxa"/>
          <w:right w:w="0" w:type="dxa"/>
        </w:tblCellMar>
      </w:tblPr>
      <w:tblGrid>
        <w:gridCol w:w="5940"/>
        <w:gridCol w:w="222"/>
        <w:gridCol w:w="1500"/>
        <w:gridCol w:w="2461"/>
      </w:tblGrid>
      <w:tr>
        <w:trPr>
          <w:trHeight w:hRule="atLeast" w:val="270"/>
        </w:trPr>
        <w:tc>
          <w:tcPr>
            <w:tcW w:w="5940" w:type="dxa"/>
            <w:noWrap/>
            <w:tcMar>
              <w:top w:w="0" w:type="dxa"/>
              <w:left w:w="108" w:type="dxa"/>
              <w:bottom w:w="0" w:type="dxa"/>
              <w:right w:w="108" w:type="dxa"/>
            </w:tcMar>
            <w:vAlign w:val="bottom"/>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b w:val="1"/>
                <w:sz w:val="20"/>
                <w:szCs w:val="20"/>
              </w:rPr>
              <w:t>ПОЯСНИТЕЛЬНАЯ ЗАПИСКА</w:t>
            </w:r>
          </w:p>
        </w:tc>
        <w:tc>
          <w:tcPr>
            <w:tcW w:w="222" w:type="dxa"/>
            <w:noWrap/>
            <w:tcMar>
              <w:top w:w="0" w:type="dxa"/>
              <w:left w:w="108" w:type="dxa"/>
              <w:bottom w:w="0" w:type="dxa"/>
              <w:right w:w="108" w:type="dxa"/>
            </w:tcMar>
            <w:vAlign w:val="bottom"/>
            <w:hideMark/>
          </w:tcPr>
          <w:p>
            <w:pPr>
              <w:ind w:left="0" w:right="0"/>
              <w:rPr>
                <w:sz w:val="24"/>
              </w:rPr>
            </w:pPr>
          </w:p>
        </w:tc>
        <w:tc>
          <w:tcPr>
            <w:tcW w:w="1500" w:type="dxa"/>
            <w:noWrap/>
            <w:tcMar>
              <w:top w:w="0" w:type="dxa"/>
              <w:left w:w="108" w:type="dxa"/>
              <w:bottom w:w="0" w:type="dxa"/>
              <w:right w:w="108" w:type="dxa"/>
            </w:tcMar>
            <w:vAlign w:val="bottom"/>
            <w:hideMark/>
          </w:tcPr>
          <w:p>
            <w:pPr>
              <w:ind w:left="0" w:right="0"/>
              <w:rPr>
                <w:sz w:val="24"/>
              </w:rPr>
            </w:pPr>
          </w:p>
        </w:tc>
        <w:tc>
          <w:tcPr>
            <w:tcW w:w="2461" w:type="dxa"/>
            <w:noWrap/>
            <w:tcMar>
              <w:top w:w="0" w:type="dxa"/>
              <w:left w:w="108" w:type="dxa"/>
              <w:bottom w:w="0" w:type="dxa"/>
              <w:right w:w="108" w:type="dxa"/>
            </w:tcMar>
            <w:vAlign w:val="bottom"/>
            <w:hideMark/>
          </w:tcPr>
          <w:p>
            <w:pPr>
              <w:ind w:left="0" w:right="0"/>
              <w:rPr>
                <w:sz w:val="24"/>
              </w:rPr>
            </w:pPr>
          </w:p>
        </w:tc>
      </w:tr>
      <w:tr>
        <w:trPr>
          <w:trHeight w:hRule="atLeast" w:val="255"/>
        </w:trPr>
        <w:tc>
          <w:tcPr>
            <w:tcW w:w="5940" w:type="dxa"/>
            <w:noWrap/>
            <w:tcMar>
              <w:top w:w="0" w:type="dxa"/>
              <w:left w:w="108" w:type="dxa"/>
              <w:bottom w:w="0" w:type="dxa"/>
              <w:right w:w="108" w:type="dxa"/>
            </w:tcMar>
            <w:vAlign w:val="bottom"/>
            <w:hideMark/>
          </w:tcPr>
          <w:p>
            <w:pPr>
              <w:ind w:left="0" w:right="0"/>
              <w:rPr>
                <w:sz w:val="24"/>
              </w:rPr>
            </w:pPr>
          </w:p>
        </w:tc>
        <w:tc>
          <w:tcPr>
            <w:tcW w:w="222" w:type="dxa"/>
            <w:noWrap/>
            <w:tcMar>
              <w:top w:w="0" w:type="dxa"/>
              <w:left w:w="108" w:type="dxa"/>
              <w:bottom w:w="0" w:type="dxa"/>
              <w:right w:w="108" w:type="dxa"/>
            </w:tcMar>
            <w:vAlign w:val="bottom"/>
            <w:hideMark/>
          </w:tcPr>
          <w:p>
            <w:pPr>
              <w:ind w:left="0" w:right="0"/>
              <w:rPr>
                <w:sz w:val="24"/>
              </w:rPr>
            </w:pPr>
          </w:p>
        </w:tc>
        <w:tc>
          <w:tcPr>
            <w:tcW w:w="1500" w:type="dxa"/>
            <w:noWrap/>
            <w:tcMar>
              <w:top w:w="0" w:type="dxa"/>
              <w:left w:w="108" w:type="dxa"/>
              <w:bottom w:w="0" w:type="dxa"/>
              <w:right w:w="108" w:type="dxa"/>
            </w:tcMar>
            <w:vAlign w:val="bottom"/>
            <w:hideMark/>
          </w:tcPr>
          <w:p>
            <w:pPr>
              <w:ind w:left="0" w:right="0"/>
              <w:rPr>
                <w:sz w:val="24"/>
              </w:rPr>
            </w:pPr>
          </w:p>
        </w:tc>
        <w:tc>
          <w:tcPr>
            <w:tcW w:w="2461" w:type="dxa"/>
            <w:tcBorders>
              <w:top w:val="single" w:sz="8" w:space="0" w:shadow="0" w:frame="0" w:color="000000"/>
              <w:left w:val="single" w:sz="8" w:space="0" w:shadow="0" w:frame="0" w:color="000000"/>
              <w:bottom w:val="single" w:sz="8" w:space="0" w:shadow="0" w:frame="0" w:color="000000"/>
              <w:right w:val="single" w:sz="8" w:space="0" w:shadow="0" w:frame="0" w:color="000000"/>
            </w:tcBorders>
            <w:noWrap/>
            <w:tcMar>
              <w:top w:w="0" w:type="dxa"/>
              <w:left w:w="108" w:type="dxa"/>
              <w:bottom w:w="0" w:type="dxa"/>
              <w:right w:w="108" w:type="dxa"/>
            </w:tcMar>
            <w:vAlign w:val="bottom"/>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18"/>
                <w:szCs w:val="18"/>
              </w:rPr>
              <w:t>КОДЫ</w:t>
            </w:r>
          </w:p>
        </w:tc>
      </w:tr>
      <w:tr>
        <w:trPr>
          <w:trHeight w:hRule="atLeast" w:val="282"/>
        </w:trPr>
        <w:tc>
          <w:tcPr>
            <w:tcW w:w="0" w:type="auto"/>
            <w:noWrap/>
            <w:tcMar>
              <w:top w:w="0" w:type="dxa"/>
              <w:left w:w="108" w:type="dxa"/>
              <w:bottom w:w="0" w:type="dxa"/>
              <w:right w:w="108" w:type="dxa"/>
            </w:tcMar>
            <w:vAlign w:val="bottom"/>
            <w:hideMark/>
          </w:tcPr>
          <w:p>
            <w:pPr>
              <w:ind w:left="0" w:right="0"/>
              <w:rPr>
                <w:sz w:val="24"/>
              </w:rPr>
            </w:pPr>
          </w:p>
        </w:tc>
        <w:tc>
          <w:tcPr>
            <w:tcW w:w="0" w:type="auto"/>
            <w:gridSpan w:val="2"/>
            <w:noWrap/>
            <w:tcMar>
              <w:top w:w="0" w:type="dxa"/>
              <w:left w:w="108" w:type="dxa"/>
              <w:bottom w:w="0" w:type="dxa"/>
              <w:right w:w="108" w:type="dxa"/>
            </w:tcMar>
            <w:vAlign w:val="bottom"/>
            <w:hideMark/>
          </w:tcPr>
          <w:p>
            <w:pPr>
              <w:spacing w:before="0" w:after="0"/>
              <w:ind w:left="0" w:right="0"/>
              <w:jc w:val="right"/>
              <w:rPr>
                <w:rFonts w:ascii="Times New Roman" w:hAnsi="Times New Roman" w:cs="Times New Roman" w:eastAsia="Times New Roman"/>
                <w:sz w:val="24"/>
              </w:rPr>
            </w:pPr>
            <w:r>
              <w:rPr>
                <w:rFonts w:ascii="Times New Roman" w:hAnsi="Times New Roman" w:cs="Times New Roman" w:eastAsia="Times New Roman"/>
                <w:sz w:val="18"/>
                <w:szCs w:val="18"/>
              </w:rPr>
              <w:t>Форма по ОКУД</w:t>
            </w:r>
          </w:p>
        </w:tc>
        <w:tc>
          <w:tcPr>
            <w:tcW w:w="2461" w:type="dxa"/>
            <w:tcBorders>
              <w:top w:val="nil"/>
              <w:left w:val="single" w:sz="8" w:space="0" w:shadow="0" w:frame="0" w:color="000000"/>
              <w:bottom w:val="single" w:sz="8" w:space="0" w:shadow="0" w:frame="0" w:color="000000"/>
              <w:right w:val="single" w:sz="8" w:space="0" w:shadow="0" w:frame="0" w:color="000000"/>
            </w:tcBorders>
            <w:noWrap/>
            <w:tcMar>
              <w:top w:w="0" w:type="dxa"/>
              <w:left w:w="108" w:type="dxa"/>
              <w:bottom w:w="0" w:type="dxa"/>
              <w:right w:w="108" w:type="dxa"/>
            </w:tcMar>
            <w:vAlign w:val="bottom"/>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18"/>
                <w:szCs w:val="18"/>
              </w:rPr>
              <w:t>0503160</w:t>
            </w:r>
          </w:p>
        </w:tc>
      </w:tr>
      <w:tr>
        <w:trPr>
          <w:trHeight w:hRule="atLeast" w:val="282"/>
        </w:trPr>
        <w:tc>
          <w:tcPr>
            <w:tcW w:w="0" w:type="auto"/>
            <w:gridSpan w:val="2"/>
            <w:noWrap/>
            <w:tcMar>
              <w:top w:w="0" w:type="dxa"/>
              <w:left w:w="108" w:type="dxa"/>
              <w:bottom w:w="0" w:type="dxa"/>
              <w:right w:w="108" w:type="dxa"/>
            </w:tcMar>
            <w:vAlign w:val="bottom"/>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18"/>
                <w:szCs w:val="18"/>
              </w:rPr>
              <w:t>                          на   1 января 2026 г.</w:t>
            </w:r>
          </w:p>
        </w:tc>
        <w:tc>
          <w:tcPr>
            <w:tcW w:w="1500" w:type="dxa"/>
            <w:noWrap/>
            <w:tcMar>
              <w:top w:w="0" w:type="dxa"/>
              <w:left w:w="108" w:type="dxa"/>
              <w:bottom w:w="0" w:type="dxa"/>
              <w:right w:w="108" w:type="dxa"/>
            </w:tcMar>
            <w:vAlign w:val="bottom"/>
            <w:hideMark/>
          </w:tcPr>
          <w:p>
            <w:pPr>
              <w:spacing w:before="0" w:after="0"/>
              <w:ind w:left="0" w:right="0"/>
              <w:jc w:val="right"/>
              <w:rPr>
                <w:rFonts w:ascii="Times New Roman" w:hAnsi="Times New Roman" w:cs="Times New Roman" w:eastAsia="Times New Roman"/>
                <w:sz w:val="24"/>
              </w:rPr>
            </w:pPr>
            <w:r>
              <w:rPr>
                <w:rFonts w:ascii="Times New Roman" w:hAnsi="Times New Roman" w:cs="Times New Roman" w:eastAsia="Times New Roman"/>
                <w:sz w:val="18"/>
                <w:szCs w:val="18"/>
              </w:rPr>
              <w:t> Дата</w:t>
            </w:r>
          </w:p>
        </w:tc>
        <w:tc>
          <w:tcPr>
            <w:tcW w:w="2461" w:type="dxa"/>
            <w:tcBorders>
              <w:top w:val="nil"/>
              <w:left w:val="single" w:sz="8" w:space="0" w:shadow="0" w:frame="0" w:color="000000"/>
              <w:bottom w:val="single" w:sz="8" w:space="0" w:shadow="0" w:frame="0" w:color="000000"/>
              <w:right w:val="single" w:sz="8" w:space="0" w:shadow="0" w:frame="0" w:color="000000"/>
            </w:tcBorders>
            <w:noWrap/>
            <w:tcMar>
              <w:top w:w="0" w:type="dxa"/>
              <w:left w:w="108" w:type="dxa"/>
              <w:bottom w:w="0" w:type="dxa"/>
              <w:right w:w="108" w:type="dxa"/>
            </w:tcMar>
            <w:vAlign w:val="bottom"/>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18"/>
                <w:szCs w:val="18"/>
              </w:rPr>
              <w:t>01.01.2026</w:t>
            </w:r>
          </w:p>
        </w:tc>
      </w:tr>
      <w:tr>
        <w:trPr>
          <w:trHeight w:hRule="atLeast" w:val="300"/>
        </w:trPr>
        <w:tc>
          <w:tcPr>
            <w:tcW w:w="5940" w:type="dxa"/>
            <w:noWrap/>
            <w:tcMar>
              <w:top w:w="0" w:type="dxa"/>
              <w:left w:w="108" w:type="dxa"/>
              <w:bottom w:w="0" w:type="dxa"/>
              <w:right w:w="108" w:type="dxa"/>
            </w:tcMar>
            <w:vAlign w:val="bottom"/>
            <w:hideMark/>
          </w:tcPr>
          <w:p>
            <w:pPr>
              <w:spacing w:before="0" w:after="0"/>
              <w:ind w:left="0" w:right="0"/>
              <w:rPr>
                <w:rFonts w:ascii="Times New Roman" w:hAnsi="Times New Roman" w:cs="Times New Roman" w:eastAsia="Times New Roman"/>
                <w:sz w:val="24"/>
              </w:rPr>
            </w:pPr>
            <w:r>
              <w:rPr>
                <w:rFonts w:ascii="Times New Roman" w:hAnsi="Times New Roman" w:cs="Times New Roman" w:eastAsia="Times New Roman"/>
                <w:sz w:val="18"/>
                <w:szCs w:val="18"/>
              </w:rPr>
              <w:t>Главный распорядитель, распорядитель,</w:t>
            </w:r>
          </w:p>
        </w:tc>
        <w:tc>
          <w:tcPr>
            <w:tcW w:w="222" w:type="dxa"/>
            <w:noWrap/>
            <w:tcMar>
              <w:top w:w="0" w:type="dxa"/>
              <w:left w:w="108" w:type="dxa"/>
              <w:bottom w:w="0" w:type="dxa"/>
              <w:right w:w="108" w:type="dxa"/>
            </w:tcMar>
            <w:vAlign w:val="bottom"/>
            <w:hideMark/>
          </w:tcPr>
          <w:p>
            <w:pPr>
              <w:ind w:left="0" w:right="0"/>
              <w:rPr>
                <w:sz w:val="24"/>
              </w:rPr>
            </w:pPr>
          </w:p>
        </w:tc>
        <w:tc>
          <w:tcPr>
            <w:tcW w:w="1500" w:type="dxa"/>
            <w:noWrap/>
            <w:tcMar>
              <w:top w:w="0" w:type="dxa"/>
              <w:left w:w="108" w:type="dxa"/>
              <w:bottom w:w="0" w:type="dxa"/>
              <w:right w:w="108" w:type="dxa"/>
            </w:tcMar>
            <w:vAlign w:val="bottom"/>
            <w:hideMark/>
          </w:tcPr>
          <w:p>
            <w:pPr>
              <w:spacing w:before="0" w:after="0"/>
              <w:ind w:left="0" w:right="0"/>
              <w:jc w:val="right"/>
              <w:rPr>
                <w:rFonts w:ascii="Times New Roman" w:hAnsi="Times New Roman" w:cs="Times New Roman" w:eastAsia="Times New Roman"/>
                <w:sz w:val="24"/>
              </w:rPr>
            </w:pPr>
            <w:r>
              <w:rPr>
                <w:rFonts w:ascii="Times New Roman" w:hAnsi="Times New Roman" w:cs="Times New Roman" w:eastAsia="Times New Roman"/>
                <w:sz w:val="18"/>
                <w:szCs w:val="18"/>
              </w:rPr>
              <w:t>Код субъекта бюджетной отчетности</w:t>
            </w:r>
          </w:p>
        </w:tc>
        <w:tc>
          <w:tcPr>
            <w:tcW w:w="2461" w:type="dxa"/>
            <w:tcBorders>
              <w:top w:val="nil"/>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spacing w:lineRule="auto" w:line="300"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18"/>
                <w:szCs w:val="18"/>
              </w:rPr>
              <w:t>ПБС</w:t>
            </w:r>
          </w:p>
        </w:tc>
      </w:tr>
      <w:tr>
        <w:trPr>
          <w:trHeight w:hRule="atLeast" w:val="195"/>
        </w:trPr>
        <w:tc>
          <w:tcPr>
            <w:tcW w:w="5940" w:type="dxa"/>
            <w:noWrap/>
            <w:tcMar>
              <w:top w:w="0" w:type="dxa"/>
              <w:left w:w="108" w:type="dxa"/>
              <w:bottom w:w="0" w:type="dxa"/>
              <w:right w:w="108" w:type="dxa"/>
            </w:tcMar>
            <w:vAlign w:val="bottom"/>
            <w:hideMark/>
          </w:tcPr>
          <w:p>
            <w:pPr>
              <w:spacing w:lineRule="atLeast" w:line="195" w:before="0" w:after="0"/>
              <w:ind w:left="0" w:right="0"/>
              <w:rPr>
                <w:rFonts w:ascii="Times New Roman" w:hAnsi="Times New Roman" w:cs="Times New Roman" w:eastAsia="Times New Roman"/>
                <w:sz w:val="24"/>
              </w:rPr>
            </w:pPr>
            <w:r>
              <w:rPr>
                <w:rFonts w:ascii="Times New Roman" w:hAnsi="Times New Roman" w:cs="Times New Roman" w:eastAsia="Times New Roman"/>
                <w:sz w:val="18"/>
                <w:szCs w:val="18"/>
              </w:rPr>
              <w:t>получатель бюджетных средств, главный администратор,   </w:t>
            </w:r>
          </w:p>
        </w:tc>
        <w:tc>
          <w:tcPr>
            <w:tcW w:w="222" w:type="dxa"/>
            <w:noWrap/>
            <w:tcMar>
              <w:top w:w="0" w:type="dxa"/>
              <w:left w:w="108" w:type="dxa"/>
              <w:bottom w:w="0" w:type="dxa"/>
              <w:right w:w="108" w:type="dxa"/>
            </w:tcMar>
            <w:vAlign w:val="bottom"/>
            <w:hideMark/>
          </w:tcPr>
          <w:p>
            <w:pPr>
              <w:ind w:left="0" w:right="0"/>
              <w:rPr>
                <w:sz w:val="20"/>
              </w:rPr>
            </w:pPr>
          </w:p>
        </w:tc>
        <w:tc>
          <w:tcPr>
            <w:tcW w:w="1500" w:type="dxa"/>
            <w:noWrap/>
            <w:tcMar>
              <w:top w:w="0" w:type="dxa"/>
              <w:left w:w="108" w:type="dxa"/>
              <w:bottom w:w="0" w:type="dxa"/>
              <w:right w:w="108" w:type="dxa"/>
            </w:tcMar>
            <w:vAlign w:val="bottom"/>
            <w:hideMark/>
          </w:tcPr>
          <w:p>
            <w:pPr>
              <w:ind w:left="0" w:right="0"/>
              <w:rPr>
                <w:sz w:val="20"/>
              </w:rPr>
            </w:pPr>
          </w:p>
        </w:tc>
        <w:tc>
          <w:tcPr>
            <w:tcW w:w="2461" w:type="dxa"/>
            <w:tcBorders>
              <w:top w:val="nil"/>
              <w:left w:val="single" w:sz="8" w:space="0" w:shadow="0" w:frame="0" w:color="000000"/>
              <w:bottom w:val="single" w:sz="8" w:space="0" w:shadow="0" w:frame="0" w:color="000000"/>
              <w:right w:val="single" w:sz="8" w:space="0" w:shadow="0" w:frame="0" w:color="000000"/>
            </w:tcBorders>
            <w:noWrap/>
            <w:tcMar>
              <w:top w:w="0" w:type="dxa"/>
              <w:left w:w="108" w:type="dxa"/>
              <w:bottom w:w="0" w:type="dxa"/>
              <w:right w:w="108" w:type="dxa"/>
            </w:tcMar>
            <w:vAlign w:val="bottom"/>
            <w:hideMark/>
          </w:tcPr>
          <w:p>
            <w:pPr>
              <w:ind w:left="0" w:right="0"/>
              <w:rPr>
                <w:sz w:val="20"/>
              </w:rPr>
            </w:pPr>
          </w:p>
        </w:tc>
      </w:tr>
      <w:tr>
        <w:trPr>
          <w:trHeight w:hRule="atLeast" w:val="195"/>
        </w:trPr>
        <w:tc>
          <w:tcPr>
            <w:tcW w:w="5940" w:type="dxa"/>
            <w:noWrap/>
            <w:tcMar>
              <w:top w:w="0" w:type="dxa"/>
              <w:left w:w="108" w:type="dxa"/>
              <w:bottom w:w="0" w:type="dxa"/>
              <w:right w:w="108" w:type="dxa"/>
            </w:tcMar>
            <w:vAlign w:val="bottom"/>
            <w:hideMark/>
          </w:tcPr>
          <w:p>
            <w:pPr>
              <w:spacing w:lineRule="atLeast" w:line="195" w:before="0" w:after="0"/>
              <w:ind w:left="0" w:right="0"/>
              <w:rPr>
                <w:rFonts w:ascii="Times New Roman" w:hAnsi="Times New Roman" w:cs="Times New Roman" w:eastAsia="Times New Roman"/>
                <w:sz w:val="24"/>
              </w:rPr>
            </w:pPr>
            <w:r>
              <w:rPr>
                <w:rFonts w:ascii="Times New Roman" w:hAnsi="Times New Roman" w:cs="Times New Roman" w:eastAsia="Times New Roman"/>
                <w:sz w:val="18"/>
                <w:szCs w:val="18"/>
              </w:rPr>
              <w:t>администратор доходов бюджета,</w:t>
            </w:r>
          </w:p>
        </w:tc>
        <w:tc>
          <w:tcPr>
            <w:tcW w:w="222" w:type="dxa"/>
            <w:noWrap/>
            <w:tcMar>
              <w:top w:w="0" w:type="dxa"/>
              <w:left w:w="108" w:type="dxa"/>
              <w:bottom w:w="0" w:type="dxa"/>
              <w:right w:w="108" w:type="dxa"/>
            </w:tcMar>
            <w:vAlign w:val="bottom"/>
            <w:hideMark/>
          </w:tcPr>
          <w:p>
            <w:pPr>
              <w:ind w:left="0" w:right="0"/>
              <w:rPr>
                <w:sz w:val="20"/>
              </w:rPr>
            </w:pPr>
          </w:p>
        </w:tc>
        <w:tc>
          <w:tcPr>
            <w:tcW w:w="1500" w:type="dxa"/>
            <w:noWrap/>
            <w:tcMar>
              <w:top w:w="0" w:type="dxa"/>
              <w:left w:w="108" w:type="dxa"/>
              <w:bottom w:w="0" w:type="dxa"/>
              <w:right w:w="108" w:type="dxa"/>
            </w:tcMar>
            <w:vAlign w:val="bottom"/>
            <w:hideMark/>
          </w:tcPr>
          <w:p>
            <w:pPr>
              <w:spacing w:lineRule="atLeast" w:line="195" w:before="0" w:after="0"/>
              <w:ind w:left="0" w:right="0"/>
              <w:jc w:val="right"/>
              <w:rPr>
                <w:rFonts w:ascii="Times New Roman" w:hAnsi="Times New Roman" w:cs="Times New Roman" w:eastAsia="Times New Roman"/>
                <w:sz w:val="24"/>
              </w:rPr>
            </w:pPr>
            <w:r>
              <w:rPr>
                <w:rFonts w:ascii="Times New Roman" w:hAnsi="Times New Roman" w:cs="Times New Roman" w:eastAsia="Times New Roman"/>
                <w:sz w:val="18"/>
                <w:szCs w:val="18"/>
              </w:rPr>
              <w:t>по ОКПО</w:t>
            </w:r>
          </w:p>
        </w:tc>
        <w:tc>
          <w:tcPr>
            <w:tcW w:w="2461" w:type="dxa"/>
            <w:tcBorders>
              <w:top w:val="nil"/>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spacing w:lineRule="atLeast" w:line="195"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18"/>
                <w:szCs w:val="18"/>
              </w:rPr>
              <w:t>34831282</w:t>
            </w:r>
          </w:p>
        </w:tc>
      </w:tr>
      <w:tr>
        <w:trPr>
          <w:trHeight w:hRule="atLeast" w:val="195"/>
        </w:trPr>
        <w:tc>
          <w:tcPr>
            <w:tcW w:w="5940" w:type="dxa"/>
            <w:noWrap/>
            <w:tcMar>
              <w:top w:w="0" w:type="dxa"/>
              <w:left w:w="108" w:type="dxa"/>
              <w:bottom w:w="0" w:type="dxa"/>
              <w:right w:w="108" w:type="dxa"/>
            </w:tcMar>
            <w:vAlign w:val="bottom"/>
            <w:hideMark/>
          </w:tcPr>
          <w:p>
            <w:pPr>
              <w:spacing w:lineRule="atLeast" w:line="195" w:before="0" w:after="0"/>
              <w:ind w:left="0" w:right="0"/>
              <w:rPr>
                <w:rFonts w:ascii="Times New Roman" w:hAnsi="Times New Roman" w:cs="Times New Roman" w:eastAsia="Times New Roman"/>
                <w:sz w:val="24"/>
              </w:rPr>
            </w:pPr>
            <w:r>
              <w:rPr>
                <w:rFonts w:ascii="Times New Roman" w:hAnsi="Times New Roman" w:cs="Times New Roman" w:eastAsia="Times New Roman"/>
                <w:sz w:val="18"/>
                <w:szCs w:val="18"/>
              </w:rPr>
              <w:t xml:space="preserve">главный администратор, администратор </w:t>
            </w:r>
          </w:p>
        </w:tc>
        <w:tc>
          <w:tcPr>
            <w:tcW w:w="222" w:type="dxa"/>
            <w:noWrap/>
            <w:tcMar>
              <w:top w:w="0" w:type="dxa"/>
              <w:left w:w="108" w:type="dxa"/>
              <w:bottom w:w="0" w:type="dxa"/>
              <w:right w:w="108" w:type="dxa"/>
            </w:tcMar>
            <w:vAlign w:val="bottom"/>
            <w:hideMark/>
          </w:tcPr>
          <w:p>
            <w:pPr>
              <w:ind w:left="0" w:right="0"/>
              <w:rPr>
                <w:sz w:val="20"/>
              </w:rPr>
            </w:pPr>
          </w:p>
        </w:tc>
        <w:tc>
          <w:tcPr>
            <w:tcW w:w="1500" w:type="dxa"/>
            <w:noWrap/>
            <w:tcMar>
              <w:top w:w="0" w:type="dxa"/>
              <w:left w:w="108" w:type="dxa"/>
              <w:bottom w:w="0" w:type="dxa"/>
              <w:right w:w="108" w:type="dxa"/>
            </w:tcMar>
            <w:vAlign w:val="bottom"/>
            <w:hideMark/>
          </w:tcPr>
          <w:p>
            <w:pPr>
              <w:ind w:left="0" w:right="0"/>
              <w:rPr>
                <w:sz w:val="20"/>
              </w:rPr>
            </w:pPr>
          </w:p>
        </w:tc>
        <w:tc>
          <w:tcPr>
            <w:tcW w:w="2461" w:type="dxa"/>
            <w:tcBorders>
              <w:top w:val="single" w:sz="8" w:space="0" w:shadow="0" w:frame="0" w:color="000000"/>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ind w:left="0" w:right="0"/>
              <w:rPr>
                <w:sz w:val="20"/>
              </w:rPr>
            </w:pPr>
          </w:p>
        </w:tc>
      </w:tr>
      <w:tr>
        <w:trPr>
          <w:trHeight w:hRule="atLeast" w:val="195"/>
        </w:trPr>
        <w:tc>
          <w:tcPr>
            <w:tcW w:w="5940" w:type="dxa"/>
            <w:noWrap/>
            <w:tcMar>
              <w:top w:w="0" w:type="dxa"/>
              <w:left w:w="108" w:type="dxa"/>
              <w:bottom w:w="0" w:type="dxa"/>
              <w:right w:w="108" w:type="dxa"/>
            </w:tcMar>
            <w:vAlign w:val="bottom"/>
            <w:hideMark/>
          </w:tcPr>
          <w:p>
            <w:pPr>
              <w:spacing w:lineRule="atLeast" w:line="195" w:before="0" w:after="0"/>
              <w:ind w:left="0" w:right="0"/>
              <w:rPr>
                <w:rFonts w:ascii="Times New Roman" w:hAnsi="Times New Roman" w:cs="Times New Roman" w:eastAsia="Times New Roman"/>
                <w:sz w:val="24"/>
              </w:rPr>
            </w:pPr>
            <w:r>
              <w:rPr>
                <w:rFonts w:ascii="Times New Roman" w:hAnsi="Times New Roman" w:cs="Times New Roman" w:eastAsia="Times New Roman"/>
                <w:sz w:val="18"/>
                <w:szCs w:val="18"/>
              </w:rPr>
              <w:t>администратор источников финансирования</w:t>
            </w:r>
          </w:p>
        </w:tc>
        <w:tc>
          <w:tcPr>
            <w:tcW w:w="222" w:type="dxa"/>
            <w:noWrap/>
            <w:tcMar>
              <w:top w:w="0" w:type="dxa"/>
              <w:left w:w="108" w:type="dxa"/>
              <w:bottom w:w="0" w:type="dxa"/>
              <w:right w:w="108" w:type="dxa"/>
            </w:tcMar>
            <w:vAlign w:val="bottom"/>
            <w:hideMark/>
          </w:tcPr>
          <w:p>
            <w:pPr>
              <w:ind w:left="0" w:right="0"/>
              <w:rPr>
                <w:sz w:val="20"/>
              </w:rPr>
            </w:pPr>
          </w:p>
        </w:tc>
        <w:tc>
          <w:tcPr>
            <w:tcW w:w="1500" w:type="dxa"/>
            <w:noWrap/>
            <w:tcMar>
              <w:top w:w="0" w:type="dxa"/>
              <w:left w:w="108" w:type="dxa"/>
              <w:bottom w:w="0" w:type="dxa"/>
              <w:right w:w="108" w:type="dxa"/>
            </w:tcMar>
            <w:vAlign w:val="bottom"/>
            <w:hideMark/>
          </w:tcPr>
          <w:p>
            <w:pPr>
              <w:ind w:left="0" w:right="0"/>
              <w:rPr>
                <w:sz w:val="20"/>
              </w:rPr>
            </w:pPr>
          </w:p>
        </w:tc>
        <w:tc>
          <w:tcPr>
            <w:tcW w:w="2461" w:type="dxa"/>
            <w:tcBorders>
              <w:top w:val="nil"/>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ind w:left="0" w:right="0"/>
              <w:rPr>
                <w:sz w:val="20"/>
              </w:rPr>
            </w:pPr>
          </w:p>
        </w:tc>
      </w:tr>
      <w:tr>
        <w:tc>
          <w:tcPr>
            <w:tcW w:w="0" w:type="auto"/>
            <w:gridSpan w:val="2"/>
            <w:tcMar>
              <w:top w:w="0" w:type="dxa"/>
              <w:left w:w="108" w:type="dxa"/>
              <w:bottom w:w="0" w:type="dxa"/>
              <w:right w:w="108" w:type="dxa"/>
            </w:tcMar>
            <w:vAlign w:val="bottom"/>
            <w:hideMark/>
          </w:tcPr>
          <w:p>
            <w:pPr>
              <w:spacing w:before="0" w:after="0"/>
              <w:ind w:left="0" w:right="0"/>
              <w:rPr>
                <w:rFonts w:ascii="Times New Roman" w:hAnsi="Times New Roman" w:cs="Times New Roman" w:eastAsia="Times New Roman"/>
                <w:sz w:val="24"/>
              </w:rPr>
            </w:pPr>
            <w:r>
              <w:rPr>
                <w:rFonts w:ascii="Times New Roman" w:hAnsi="Times New Roman" w:cs="Times New Roman" w:eastAsia="Times New Roman"/>
                <w:sz w:val="18"/>
                <w:szCs w:val="18"/>
              </w:rPr>
              <w:t xml:space="preserve">дефицита бюджета </w:t>
            </w:r>
            <w:r>
              <w:rPr>
                <w:rFonts w:ascii="Times New Roman" w:hAnsi="Times New Roman" w:cs="Times New Roman" w:eastAsia="Times New Roman"/>
                <w:sz w:val="18"/>
                <w:szCs w:val="18"/>
                <w:u w:val="single"/>
              </w:rPr>
              <w:t>государственное казенное учреждение Новосибирской области «Центр социальной поддержки населения Черепановского района»</w:t>
            </w:r>
            <w:r>
              <w:rPr>
                <w:rFonts w:ascii="Times New Roman" w:hAnsi="Times New Roman" w:cs="Times New Roman" w:eastAsia="Times New Roman"/>
                <w:sz w:val="18"/>
                <w:szCs w:val="18"/>
              </w:rPr>
              <w:t>         </w:t>
            </w:r>
          </w:p>
          <w:p>
            <w:pPr>
              <w:spacing w:before="0" w:after="0"/>
              <w:ind w:left="0" w:right="0"/>
              <w:rPr>
                <w:rFonts w:ascii="Times New Roman" w:hAnsi="Times New Roman" w:cs="Times New Roman" w:eastAsia="Times New Roman"/>
                <w:sz w:val="24"/>
              </w:rPr>
            </w:pPr>
            <w:r>
              <w:rPr>
                <w:rFonts w:ascii="Times New Roman" w:hAnsi="Times New Roman" w:cs="Times New Roman" w:eastAsia="Times New Roman"/>
                <w:sz w:val="24"/>
                <w:szCs w:val="24"/>
              </w:rPr>
              <w:t> </w:t>
            </w:r>
          </w:p>
        </w:tc>
        <w:tc>
          <w:tcPr>
            <w:tcW w:w="1500" w:type="dxa"/>
            <w:noWrap/>
            <w:tcMar>
              <w:top w:w="0" w:type="dxa"/>
              <w:left w:w="108" w:type="dxa"/>
              <w:bottom w:w="0" w:type="dxa"/>
              <w:right w:w="108" w:type="dxa"/>
            </w:tcMar>
            <w:vAlign w:val="bottom"/>
            <w:hideMark/>
          </w:tcPr>
          <w:p>
            <w:pPr>
              <w:spacing w:before="0" w:after="0"/>
              <w:ind w:left="0" w:right="0"/>
              <w:jc w:val="right"/>
              <w:rPr>
                <w:rFonts w:ascii="Times New Roman" w:hAnsi="Times New Roman" w:cs="Times New Roman" w:eastAsia="Times New Roman"/>
                <w:sz w:val="24"/>
              </w:rPr>
            </w:pPr>
            <w:r>
              <w:rPr>
                <w:rFonts w:ascii="Times New Roman" w:hAnsi="Times New Roman" w:cs="Times New Roman" w:eastAsia="Times New Roman"/>
                <w:sz w:val="18"/>
                <w:szCs w:val="18"/>
              </w:rPr>
              <w:t>Глава по БК</w:t>
            </w:r>
          </w:p>
        </w:tc>
        <w:tc>
          <w:tcPr>
            <w:tcW w:w="2461" w:type="dxa"/>
            <w:tcBorders>
              <w:top w:val="nil"/>
              <w:left w:val="single" w:sz="8" w:space="0" w:shadow="0" w:frame="0" w:color="000000"/>
              <w:bottom w:val="single" w:sz="8" w:space="0" w:shadow="0" w:frame="0" w:color="000000"/>
              <w:right w:val="single" w:sz="8" w:space="0" w:shadow="0" w:frame="0" w:color="000000"/>
            </w:tcBorders>
            <w:noWrap/>
            <w:tcMar>
              <w:top w:w="0" w:type="dxa"/>
              <w:left w:w="108" w:type="dxa"/>
              <w:bottom w:w="0" w:type="dxa"/>
              <w:right w:w="108" w:type="dxa"/>
            </w:tcMar>
            <w:vAlign w:val="bottom"/>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18"/>
                <w:szCs w:val="18"/>
              </w:rPr>
              <w:t>023</w:t>
            </w:r>
          </w:p>
        </w:tc>
      </w:tr>
      <w:tr>
        <w:trPr>
          <w:trHeight w:hRule="atLeast" w:val="280"/>
        </w:trPr>
        <w:tc>
          <w:tcPr>
            <w:tcW w:w="5940" w:type="dxa"/>
            <w:noWrap/>
            <w:tcMar>
              <w:top w:w="0" w:type="dxa"/>
              <w:left w:w="108" w:type="dxa"/>
              <w:bottom w:w="0" w:type="dxa"/>
              <w:right w:w="108" w:type="dxa"/>
            </w:tcMar>
            <w:vAlign w:val="bottom"/>
            <w:hideMark/>
          </w:tcPr>
          <w:p>
            <w:pPr>
              <w:spacing w:before="0" w:after="0"/>
              <w:ind w:left="0" w:right="0"/>
              <w:rPr>
                <w:rFonts w:ascii="Times New Roman" w:hAnsi="Times New Roman" w:cs="Times New Roman" w:eastAsia="Times New Roman"/>
                <w:sz w:val="24"/>
              </w:rPr>
            </w:pPr>
            <w:r>
              <w:rPr>
                <w:rFonts w:ascii="Times New Roman" w:hAnsi="Times New Roman" w:cs="Times New Roman" w:eastAsia="Times New Roman"/>
                <w:sz w:val="18"/>
                <w:szCs w:val="18"/>
              </w:rPr>
              <w:t xml:space="preserve">Наименование бюджета </w:t>
            </w:r>
          </w:p>
        </w:tc>
        <w:tc>
          <w:tcPr>
            <w:tcW w:w="222" w:type="dxa"/>
            <w:noWrap/>
            <w:tcMar>
              <w:top w:w="0" w:type="dxa"/>
              <w:left w:w="108" w:type="dxa"/>
              <w:bottom w:w="0" w:type="dxa"/>
              <w:right w:w="108" w:type="dxa"/>
            </w:tcMar>
            <w:vAlign w:val="bottom"/>
            <w:hideMark/>
          </w:tcPr>
          <w:p>
            <w:pPr>
              <w:ind w:left="0" w:right="0"/>
              <w:rPr>
                <w:sz w:val="24"/>
              </w:rPr>
            </w:pPr>
          </w:p>
        </w:tc>
        <w:tc>
          <w:tcPr>
            <w:tcW w:w="1500" w:type="dxa"/>
            <w:noWrap/>
            <w:tcMar>
              <w:top w:w="0" w:type="dxa"/>
              <w:left w:w="108" w:type="dxa"/>
              <w:bottom w:w="0" w:type="dxa"/>
              <w:right w:w="108" w:type="dxa"/>
            </w:tcMar>
            <w:vAlign w:val="bottom"/>
            <w:hideMark/>
          </w:tcPr>
          <w:p>
            <w:pPr>
              <w:ind w:left="0" w:right="0"/>
              <w:rPr>
                <w:sz w:val="24"/>
              </w:rPr>
            </w:pPr>
          </w:p>
        </w:tc>
        <w:tc>
          <w:tcPr>
            <w:tcW w:w="2461" w:type="dxa"/>
            <w:tcBorders>
              <w:top w:val="nil"/>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ind w:left="0" w:right="0"/>
              <w:rPr>
                <w:sz w:val="24"/>
              </w:rPr>
            </w:pPr>
          </w:p>
        </w:tc>
      </w:tr>
      <w:tr>
        <w:trPr>
          <w:trHeight w:hRule="atLeast" w:val="210"/>
        </w:trPr>
        <w:tc>
          <w:tcPr>
            <w:tcW w:w="0" w:type="auto"/>
            <w:gridSpan w:val="2"/>
            <w:noWrap/>
            <w:tcMar>
              <w:top w:w="0" w:type="dxa"/>
              <w:left w:w="108" w:type="dxa"/>
              <w:bottom w:w="0" w:type="dxa"/>
              <w:right w:w="108" w:type="dxa"/>
            </w:tcMar>
            <w:vAlign w:val="bottom"/>
            <w:hideMark/>
          </w:tcPr>
          <w:p>
            <w:pPr>
              <w:spacing w:before="0" w:after="0"/>
              <w:ind w:left="0" w:right="0"/>
              <w:rPr>
                <w:rFonts w:ascii="Times New Roman" w:hAnsi="Times New Roman" w:cs="Times New Roman" w:eastAsia="Times New Roman"/>
                <w:sz w:val="24"/>
              </w:rPr>
            </w:pPr>
            <w:r>
              <w:rPr>
                <w:rFonts w:ascii="Times New Roman" w:hAnsi="Times New Roman" w:cs="Times New Roman" w:eastAsia="Times New Roman"/>
                <w:sz w:val="18"/>
                <w:szCs w:val="18"/>
              </w:rPr>
              <w:t xml:space="preserve">(публично-правового образования) </w:t>
            </w:r>
            <w:r>
              <w:rPr>
                <w:rFonts w:ascii="Times New Roman" w:hAnsi="Times New Roman" w:cs="Times New Roman" w:eastAsia="Times New Roman"/>
                <w:sz w:val="18"/>
                <w:szCs w:val="18"/>
                <w:u w:val="single"/>
              </w:rPr>
              <w:t>Бюджет субъекта РФ</w:t>
            </w:r>
            <w:r>
              <w:rPr>
                <w:rFonts w:ascii="Times New Roman" w:hAnsi="Times New Roman" w:cs="Times New Roman" w:eastAsia="Times New Roman"/>
                <w:sz w:val="18"/>
                <w:szCs w:val="18"/>
              </w:rPr>
              <w:t xml:space="preserve"> </w:t>
            </w:r>
          </w:p>
          <w:p>
            <w:pPr>
              <w:spacing w:lineRule="atLeast" w:line="210" w:before="0" w:after="0"/>
              <w:ind w:left="0" w:right="0"/>
              <w:rPr>
                <w:rFonts w:ascii="Times New Roman" w:hAnsi="Times New Roman" w:cs="Times New Roman" w:eastAsia="Times New Roman"/>
                <w:sz w:val="24"/>
              </w:rPr>
            </w:pPr>
            <w:r>
              <w:rPr>
                <w:rFonts w:ascii="Times New Roman" w:hAnsi="Times New Roman" w:cs="Times New Roman" w:eastAsia="Times New Roman"/>
                <w:sz w:val="18"/>
                <w:szCs w:val="18"/>
              </w:rPr>
              <w:t xml:space="preserve">   </w:t>
            </w:r>
          </w:p>
        </w:tc>
        <w:tc>
          <w:tcPr>
            <w:tcW w:w="1500" w:type="dxa"/>
            <w:noWrap/>
            <w:tcMar>
              <w:top w:w="0" w:type="dxa"/>
              <w:left w:w="108" w:type="dxa"/>
              <w:bottom w:w="0" w:type="dxa"/>
              <w:right w:w="108" w:type="dxa"/>
            </w:tcMar>
            <w:vAlign w:val="bottom"/>
            <w:hideMark/>
          </w:tcPr>
          <w:p>
            <w:pPr>
              <w:spacing w:lineRule="atLeast" w:line="210" w:before="0" w:after="0"/>
              <w:ind w:left="0" w:right="0"/>
              <w:jc w:val="right"/>
              <w:rPr>
                <w:rFonts w:ascii="Times New Roman" w:hAnsi="Times New Roman" w:cs="Times New Roman" w:eastAsia="Times New Roman"/>
                <w:sz w:val="24"/>
              </w:rPr>
            </w:pPr>
            <w:r>
              <w:rPr>
                <w:rFonts w:ascii="Times New Roman" w:hAnsi="Times New Roman" w:cs="Times New Roman" w:eastAsia="Times New Roman"/>
                <w:sz w:val="18"/>
                <w:szCs w:val="18"/>
              </w:rPr>
              <w:t>по ОКТМО</w:t>
            </w:r>
          </w:p>
        </w:tc>
        <w:tc>
          <w:tcPr>
            <w:tcW w:w="2461" w:type="dxa"/>
            <w:tcBorders>
              <w:top w:val="nil"/>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spacing w:lineRule="atLeast" w:line="210"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15"/>
                <w:szCs w:val="15"/>
              </w:rPr>
              <w:t>50000000</w:t>
            </w:r>
          </w:p>
        </w:tc>
      </w:tr>
      <w:tr>
        <w:trPr>
          <w:trHeight w:hRule="atLeast" w:val="315"/>
        </w:trPr>
        <w:tc>
          <w:tcPr>
            <w:tcW w:w="5940" w:type="dxa"/>
            <w:noWrap/>
            <w:tcMar>
              <w:top w:w="0" w:type="dxa"/>
              <w:left w:w="108" w:type="dxa"/>
              <w:bottom w:w="0" w:type="dxa"/>
              <w:right w:w="108" w:type="dxa"/>
            </w:tcMar>
            <w:vAlign w:val="bottom"/>
            <w:hideMark/>
          </w:tcPr>
          <w:p>
            <w:pPr>
              <w:spacing w:before="0" w:after="0"/>
              <w:ind w:left="0" w:right="0"/>
              <w:rPr>
                <w:rFonts w:ascii="Times New Roman" w:hAnsi="Times New Roman" w:cs="Times New Roman" w:eastAsia="Times New Roman"/>
                <w:sz w:val="24"/>
              </w:rPr>
            </w:pPr>
            <w:r>
              <w:rPr>
                <w:rFonts w:ascii="Times New Roman" w:hAnsi="Times New Roman" w:cs="Times New Roman" w:eastAsia="Times New Roman"/>
                <w:sz w:val="18"/>
                <w:szCs w:val="18"/>
              </w:rPr>
              <w:t>Периодичность:    месячная, квартальная, годовая</w:t>
            </w:r>
          </w:p>
        </w:tc>
        <w:tc>
          <w:tcPr>
            <w:tcW w:w="222" w:type="dxa"/>
            <w:noWrap/>
            <w:tcMar>
              <w:top w:w="0" w:type="dxa"/>
              <w:left w:w="108" w:type="dxa"/>
              <w:bottom w:w="0" w:type="dxa"/>
              <w:right w:w="108" w:type="dxa"/>
            </w:tcMar>
            <w:vAlign w:val="bottom"/>
            <w:hideMark/>
          </w:tcPr>
          <w:p>
            <w:pPr>
              <w:ind w:left="0" w:right="0"/>
              <w:rPr>
                <w:sz w:val="24"/>
              </w:rPr>
            </w:pPr>
          </w:p>
        </w:tc>
        <w:tc>
          <w:tcPr>
            <w:tcW w:w="1500" w:type="dxa"/>
            <w:noWrap/>
            <w:tcMar>
              <w:top w:w="0" w:type="dxa"/>
              <w:left w:w="108" w:type="dxa"/>
              <w:bottom w:w="0" w:type="dxa"/>
              <w:right w:w="108" w:type="dxa"/>
            </w:tcMar>
            <w:vAlign w:val="bottom"/>
            <w:hideMark/>
          </w:tcPr>
          <w:p>
            <w:pPr>
              <w:ind w:left="0" w:right="0"/>
              <w:rPr>
                <w:sz w:val="24"/>
              </w:rPr>
            </w:pPr>
          </w:p>
        </w:tc>
        <w:tc>
          <w:tcPr>
            <w:tcW w:w="2461" w:type="dxa"/>
            <w:tcBorders>
              <w:top w:val="single" w:sz="8" w:space="0" w:shadow="0" w:frame="0" w:color="000000"/>
              <w:left w:val="single" w:sz="8" w:space="0" w:shadow="0" w:frame="0" w:color="000000"/>
              <w:bottom w:val="nil"/>
              <w:right w:val="single" w:sz="8" w:space="0" w:shadow="0" w:frame="0" w:color="000000"/>
            </w:tcBorders>
            <w:noWrap/>
            <w:tcMar>
              <w:top w:w="0" w:type="dxa"/>
              <w:left w:w="108" w:type="dxa"/>
              <w:bottom w:w="0" w:type="dxa"/>
              <w:right w:w="108" w:type="dxa"/>
            </w:tcMar>
            <w:vAlign w:val="bottom"/>
            <w:hideMark/>
          </w:tcPr>
          <w:p>
            <w:pPr>
              <w:ind w:left="0" w:right="0"/>
              <w:rPr>
                <w:sz w:val="24"/>
              </w:rPr>
            </w:pPr>
          </w:p>
        </w:tc>
      </w:tr>
      <w:tr>
        <w:trPr>
          <w:trHeight w:hRule="atLeast" w:val="282"/>
        </w:trPr>
        <w:tc>
          <w:tcPr>
            <w:tcW w:w="0" w:type="auto"/>
            <w:noWrap/>
            <w:tcMar>
              <w:top w:w="0" w:type="dxa"/>
              <w:left w:w="108" w:type="dxa"/>
              <w:bottom w:w="0" w:type="dxa"/>
              <w:right w:w="108" w:type="dxa"/>
            </w:tcMar>
            <w:vAlign w:val="bottom"/>
            <w:hideMark/>
          </w:tcPr>
          <w:p>
            <w:pPr>
              <w:spacing w:before="0" w:after="0"/>
              <w:ind w:left="0" w:right="0"/>
              <w:rPr>
                <w:rFonts w:ascii="Times New Roman" w:hAnsi="Times New Roman" w:cs="Times New Roman" w:eastAsia="Times New Roman"/>
                <w:sz w:val="24"/>
              </w:rPr>
            </w:pPr>
            <w:r>
              <w:rPr>
                <w:rFonts w:ascii="Times New Roman" w:hAnsi="Times New Roman" w:cs="Times New Roman" w:eastAsia="Times New Roman"/>
                <w:sz w:val="18"/>
                <w:szCs w:val="18"/>
              </w:rPr>
              <w:t>Единица измерения: руб.</w:t>
            </w:r>
          </w:p>
        </w:tc>
        <w:tc>
          <w:tcPr>
            <w:tcW w:w="222" w:type="dxa"/>
            <w:noWrap/>
            <w:tcMar>
              <w:top w:w="0" w:type="dxa"/>
              <w:left w:w="108" w:type="dxa"/>
              <w:bottom w:w="0" w:type="dxa"/>
              <w:right w:w="108" w:type="dxa"/>
            </w:tcMar>
            <w:vAlign w:val="bottom"/>
            <w:hideMark/>
          </w:tcPr>
          <w:p>
            <w:pPr>
              <w:ind w:left="0" w:right="0"/>
              <w:rPr>
                <w:sz w:val="24"/>
              </w:rPr>
            </w:pPr>
          </w:p>
        </w:tc>
        <w:tc>
          <w:tcPr>
            <w:tcW w:w="1500" w:type="dxa"/>
            <w:noWrap/>
            <w:tcMar>
              <w:top w:w="0" w:type="dxa"/>
              <w:left w:w="108" w:type="dxa"/>
              <w:bottom w:w="0" w:type="dxa"/>
              <w:right w:w="108" w:type="dxa"/>
            </w:tcMar>
            <w:vAlign w:val="bottom"/>
            <w:hideMark/>
          </w:tcPr>
          <w:p>
            <w:pPr>
              <w:spacing w:before="240" w:after="240" w:beforeAutospacing="1" w:afterAutospacing="1"/>
              <w:ind w:left="0" w:right="0"/>
              <w:jc w:val="right"/>
              <w:rPr>
                <w:rFonts w:ascii="Times New Roman" w:hAnsi="Times New Roman" w:cs="Times New Roman" w:eastAsia="Times New Roman"/>
                <w:sz w:val="24"/>
              </w:rPr>
            </w:pPr>
            <w:r>
              <w:rPr>
                <w:rFonts w:ascii="Times New Roman" w:hAnsi="Times New Roman" w:cs="Times New Roman" w:eastAsia="Times New Roman"/>
                <w:sz w:val="18"/>
                <w:szCs w:val="18"/>
              </w:rPr>
              <w:t>    по ОКЕИ</w:t>
            </w:r>
          </w:p>
        </w:tc>
        <w:tc>
          <w:tcPr>
            <w:tcW w:w="2461" w:type="dxa"/>
            <w:tcBorders>
              <w:top w:val="single" w:sz="8" w:space="0" w:shadow="0" w:frame="0" w:color="000000"/>
              <w:left w:val="single" w:sz="8" w:space="0" w:shadow="0" w:frame="0" w:color="000000"/>
              <w:bottom w:val="single" w:sz="8" w:space="0" w:shadow="0" w:frame="0" w:color="000000"/>
              <w:right w:val="single" w:sz="8" w:space="0" w:shadow="0" w:frame="0" w:color="000000"/>
            </w:tcBorders>
            <w:noWrap/>
            <w:tcMar>
              <w:top w:w="0" w:type="dxa"/>
              <w:left w:w="108" w:type="dxa"/>
              <w:bottom w:w="0" w:type="dxa"/>
              <w:right w:w="108" w:type="dxa"/>
            </w:tcMar>
            <w:vAlign w:val="bottom"/>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18"/>
                <w:szCs w:val="18"/>
              </w:rPr>
              <w:t>383</w:t>
            </w:r>
          </w:p>
        </w:tc>
      </w:tr>
      <w:tr>
        <w:trPr>
          <w:trHeight w:hRule="atLeast" w:val="282"/>
        </w:trPr>
        <w:tc>
          <w:tcPr>
            <w:tcW w:w="0" w:type="auto"/>
            <w:noWrap/>
            <w:tcMar>
              <w:top w:w="0" w:type="dxa"/>
              <w:left w:w="108" w:type="dxa"/>
              <w:bottom w:w="0" w:type="dxa"/>
              <w:right w:w="108" w:type="dxa"/>
            </w:tcMar>
            <w:vAlign w:val="bottom"/>
            <w:hideMark/>
          </w:tcPr>
          <w:p>
            <w:pPr>
              <w:ind w:left="0" w:right="0"/>
              <w:rPr>
                <w:sz w:val="24"/>
              </w:rPr>
            </w:pPr>
          </w:p>
        </w:tc>
        <w:tc>
          <w:tcPr>
            <w:tcW w:w="222" w:type="dxa"/>
            <w:noWrap/>
            <w:tcMar>
              <w:top w:w="0" w:type="dxa"/>
              <w:left w:w="108" w:type="dxa"/>
              <w:bottom w:w="0" w:type="dxa"/>
              <w:right w:w="108" w:type="dxa"/>
            </w:tcMar>
            <w:vAlign w:val="bottom"/>
            <w:hideMark/>
          </w:tcPr>
          <w:p>
            <w:pPr>
              <w:ind w:left="0" w:right="0"/>
              <w:rPr>
                <w:sz w:val="24"/>
              </w:rPr>
            </w:pPr>
          </w:p>
        </w:tc>
        <w:tc>
          <w:tcPr>
            <w:tcW w:w="1500" w:type="dxa"/>
            <w:noWrap/>
            <w:tcMar>
              <w:top w:w="0" w:type="dxa"/>
              <w:left w:w="108" w:type="dxa"/>
              <w:bottom w:w="0" w:type="dxa"/>
              <w:right w:w="108" w:type="dxa"/>
            </w:tcMar>
            <w:vAlign w:val="bottom"/>
            <w:hideMark/>
          </w:tcPr>
          <w:p>
            <w:pPr>
              <w:ind w:left="0" w:right="0"/>
              <w:rPr>
                <w:sz w:val="24"/>
              </w:rPr>
            </w:pPr>
          </w:p>
        </w:tc>
        <w:tc>
          <w:tcPr>
            <w:tcW w:w="2461" w:type="dxa"/>
            <w:noWrap/>
            <w:tcMar>
              <w:top w:w="0" w:type="dxa"/>
              <w:left w:w="108" w:type="dxa"/>
              <w:bottom w:w="0" w:type="dxa"/>
              <w:right w:w="108" w:type="dxa"/>
            </w:tcMar>
            <w:vAlign w:val="bottom"/>
            <w:hideMark/>
          </w:tcPr>
          <w:p>
            <w:pPr>
              <w:ind w:left="0" w:right="0"/>
              <w:rPr>
                <w:sz w:val="24"/>
              </w:rPr>
            </w:pPr>
          </w:p>
        </w:tc>
      </w:tr>
      <w:tr>
        <w:trPr>
          <w:trHeight w:hRule="atLeast" w:val="282"/>
        </w:trPr>
        <w:tc>
          <w:tcPr>
            <w:tcW w:w="0" w:type="auto"/>
            <w:gridSpan w:val="4"/>
            <w:noWrap/>
            <w:tcMar>
              <w:top w:w="0" w:type="dxa"/>
              <w:left w:w="108" w:type="dxa"/>
              <w:bottom w:w="0" w:type="dxa"/>
              <w:right w:w="108" w:type="dxa"/>
            </w:tcMar>
            <w:vAlign w:val="bottom"/>
            <w:hideMark/>
          </w:tcPr>
          <w:p>
            <w:pPr>
              <w:ind w:left="0" w:right="0"/>
              <w:rPr>
                <w:sz w:val="24"/>
              </w:rPr>
            </w:pPr>
          </w:p>
        </w:tc>
      </w:tr>
    </w:tbl>
    <w:p>
      <w:pPr>
        <w:spacing w:before="240" w:after="240"/>
        <w:ind w:firstLine="0" w:left="0" w:right="0"/>
        <w:jc w:val="center"/>
        <w:outlineLvl w:val="9"/>
        <w:rPr>
          <w:color w:val="000000"/>
        </w:rPr>
      </w:pPr>
      <w:r>
        <w:rPr>
          <w:rFonts w:ascii="Times New Roman" w:hAnsi="Times New Roman" w:cs="Times New Roman" w:eastAsia="Times New Roman"/>
          <w:b w:val="1"/>
          <w:i w:val="0"/>
          <w:color w:val="000000"/>
          <w:sz w:val="28"/>
          <w:szCs w:val="28"/>
        </w:rPr>
        <w:t>Раздел 1 «Организационная структура субъекта бюджетной отчетности».</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Полное наименование: государственное казенное учреждение Новосибирской области «Центр социальной поддержки населения Черепановского района».</w:t>
      </w:r>
      <w:r>
        <w:rPr>
          <w:rFonts w:ascii="Times New Roman" w:hAnsi="Times New Roman" w:cs="Times New Roman" w:eastAsia="Times New Roman"/>
          <w:b w:val="0"/>
          <w:i w:val="0"/>
          <w:color w:val="000000"/>
          <w:sz w:val="28"/>
          <w:szCs w:val="28"/>
          <w:shd w:val="clear" w:color="auto" w:fill="FFFF00"/>
        </w:rPr>
        <w:t xml:space="preserve"> </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Сокращенное наименование: ГКУ НСО ЦСПН Черепановского района</w:t>
      </w:r>
    </w:p>
    <w:p>
      <w:pPr>
        <w:spacing w:before="240" w:after="240"/>
        <w:ind w:firstLine="0" w:left="0" w:right="0"/>
        <w:jc w:val="both"/>
        <w:outlineLvl w:val="9"/>
        <w:rPr>
          <w:color w:val="000000"/>
        </w:rPr>
      </w:pPr>
      <w:r>
        <w:rPr>
          <w:rFonts w:ascii="Times New Roman" w:hAnsi="Times New Roman" w:cs="Times New Roman" w:eastAsia="Times New Roman"/>
          <w:b w:val="0"/>
          <w:i w:val="0"/>
          <w:color w:val="000000"/>
          <w:sz w:val="28"/>
          <w:szCs w:val="28"/>
        </w:rPr>
        <w:t>ИНН 5440115900, КПП 544001001, ОГРН 1185476101546</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Юридический почтовый адрес: 633520, Новосибирская область, г.Черепаново, ул.Кирова 1Б.</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Адрес местонахождения: тот же.</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Собственник имущества: субъект РФ – Новосибирская область.</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Учредитель – Правительство Новосибирской области, Департамент имущества и земельных отношений Новосибирской области, Министерство труда и социального развития Новосибирской области.</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Учреждение действует на основании Устава, утвержденного приказом министерства труда и социального развития Новосибирской области от 05.12.2018г. № 1303.</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Цель деятельности – социальные услуги без обеспечения проживания прочие, не включенные в другие группировки (ОКПД 88.99). Оказывает адресную социальную помощь гражданам, нуждающимся в государственной поддержке, осуществляет назначение, перерасчет и выплату пособий, компенсаций и других социальных выплат, предусмотренных действующим законодательством, а так же принимает решения об отказе в назначении, пересчете и выплате пособий, компенсаций и других социальных выплат, предусмотренных действующим законодательством. Осуществляет выдачу транспортных требований отдельным категориям граждан, имеющих право на меры социальной поддержки при проезде на железнодорожном транспорте пригородного сообщения на территории Новосибирской области. Предоставляет путевки для санаторно-курортного лечения ветеранов труда, путевки для отдыха и оздоровления детей. Формирует реестры граждан, имеющих право на выплаты компенсаций и пособий. Рассматривает письма, жалобы, заявления и обращения граждан, организаций и принимает меры к устранению выявленных недостатков в пределах своих полномочий.</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Обособленных подразделений нет. Подведомственных учреждений и филиалов нет.</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Бюджетные полномочия: получатель бюджетных средств.</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Бухгалтерский учет ведется бухгалтерией, возглавляемой главным бухгалтером.</w:t>
      </w:r>
    </w:p>
    <w:p>
      <w:pPr>
        <w:spacing w:before="240" w:after="240"/>
        <w:ind w:firstLine="0" w:left="0" w:right="0"/>
        <w:jc w:val="center"/>
        <w:outlineLvl w:val="9"/>
        <w:rPr>
          <w:color w:val="000000"/>
        </w:rPr>
      </w:pPr>
      <w:r>
        <w:rPr>
          <w:rFonts w:ascii="Times New Roman" w:hAnsi="Times New Roman" w:cs="Times New Roman" w:eastAsia="Times New Roman"/>
          <w:b w:val="1"/>
          <w:i w:val="0"/>
          <w:color w:val="000000"/>
          <w:sz w:val="28"/>
          <w:szCs w:val="28"/>
        </w:rPr>
        <w:t>Раздел 2 «Результаты деятельности субъекта бюджетной отчетности».</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Центром в отчетном периоде всего проведено 44 способа размещения заказов из них:</w:t>
      </w:r>
    </w:p>
    <w:p>
      <w:pPr>
        <w:spacing w:before="240" w:after="240"/>
        <w:ind w:firstLine="0" w:left="0" w:right="0"/>
        <w:jc w:val="both"/>
        <w:outlineLvl w:val="9"/>
        <w:rPr>
          <w:color w:val="000000"/>
        </w:rPr>
      </w:pPr>
      <w:r>
        <w:rPr>
          <w:rFonts w:ascii="Times New Roman" w:hAnsi="Times New Roman" w:cs="Times New Roman" w:eastAsia="Times New Roman"/>
          <w:b w:val="0"/>
          <w:i w:val="0"/>
          <w:color w:val="000000"/>
          <w:sz w:val="28"/>
          <w:szCs w:val="28"/>
        </w:rPr>
        <w:t>- конкурсы – 0;</w:t>
      </w:r>
    </w:p>
    <w:p>
      <w:pPr>
        <w:spacing w:before="240" w:after="240"/>
        <w:ind w:firstLine="0" w:left="0" w:right="0"/>
        <w:jc w:val="both"/>
        <w:outlineLvl w:val="9"/>
        <w:rPr>
          <w:color w:val="000000"/>
        </w:rPr>
      </w:pPr>
      <w:r>
        <w:rPr>
          <w:rFonts w:ascii="Times New Roman" w:hAnsi="Times New Roman" w:cs="Times New Roman" w:eastAsia="Times New Roman"/>
          <w:b w:val="0"/>
          <w:i w:val="0"/>
          <w:color w:val="000000"/>
          <w:sz w:val="24"/>
          <w:szCs w:val="24"/>
        </w:rPr>
        <w:t> </w:t>
      </w:r>
      <w:r>
        <w:rPr>
          <w:rFonts w:ascii="Times New Roman" w:hAnsi="Times New Roman" w:cs="Times New Roman" w:eastAsia="Times New Roman"/>
          <w:b w:val="0"/>
          <w:i w:val="0"/>
          <w:color w:val="000000"/>
          <w:sz w:val="28"/>
          <w:szCs w:val="28"/>
        </w:rPr>
        <w:t>- аукционы в электронной форме –1, несостоявшиеся электронные аукционы (единственная заявка на участие в электронном аукционе) – 0.</w:t>
      </w:r>
    </w:p>
    <w:p>
      <w:pPr>
        <w:spacing w:before="240" w:after="240"/>
        <w:ind w:firstLine="0" w:left="0" w:right="0"/>
        <w:jc w:val="both"/>
        <w:outlineLvl w:val="9"/>
        <w:rPr>
          <w:color w:val="000000"/>
        </w:rPr>
      </w:pPr>
      <w:r>
        <w:rPr>
          <w:rFonts w:ascii="Times New Roman" w:hAnsi="Times New Roman" w:cs="Times New Roman" w:eastAsia="Times New Roman"/>
          <w:b w:val="0"/>
          <w:i w:val="0"/>
          <w:color w:val="000000"/>
          <w:sz w:val="28"/>
          <w:szCs w:val="28"/>
        </w:rPr>
        <w:t>- закупки у единственного поставщика 1, из них по результатам несостоявшихся аукционов 0;</w:t>
      </w:r>
    </w:p>
    <w:p>
      <w:pPr>
        <w:spacing w:before="240" w:after="240"/>
        <w:ind w:firstLine="0" w:left="0" w:right="0"/>
        <w:jc w:val="both"/>
        <w:outlineLvl w:val="9"/>
        <w:rPr>
          <w:color w:val="000000"/>
        </w:rPr>
      </w:pPr>
      <w:r>
        <w:rPr>
          <w:rFonts w:ascii="Times New Roman" w:hAnsi="Times New Roman" w:cs="Times New Roman" w:eastAsia="Times New Roman"/>
          <w:b w:val="0"/>
          <w:i w:val="0"/>
          <w:color w:val="000000"/>
          <w:sz w:val="28"/>
          <w:szCs w:val="28"/>
        </w:rPr>
        <w:t>- запросы котировок 0;</w:t>
      </w:r>
    </w:p>
    <w:p>
      <w:pPr>
        <w:spacing w:before="240" w:after="240"/>
        <w:ind w:firstLine="0" w:left="0" w:right="0"/>
        <w:jc w:val="both"/>
        <w:outlineLvl w:val="9"/>
        <w:rPr>
          <w:color w:val="000000"/>
        </w:rPr>
      </w:pPr>
      <w:r>
        <w:rPr>
          <w:rFonts w:ascii="Times New Roman" w:hAnsi="Times New Roman" w:cs="Times New Roman" w:eastAsia="Times New Roman"/>
          <w:b w:val="0"/>
          <w:i w:val="0"/>
          <w:color w:val="000000"/>
          <w:sz w:val="28"/>
          <w:szCs w:val="28"/>
        </w:rPr>
        <w:t>- закупки малого объема (до 600 тыс. руб.) – 42.</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Общая стоимость заключенных контрактов 2303377,36 руб. из них:</w:t>
      </w:r>
    </w:p>
    <w:p>
      <w:pPr>
        <w:spacing w:before="240" w:after="240"/>
        <w:ind w:firstLine="0" w:left="0" w:right="0"/>
        <w:jc w:val="both"/>
        <w:outlineLvl w:val="9"/>
        <w:rPr>
          <w:color w:val="000000"/>
        </w:rPr>
      </w:pPr>
      <w:r>
        <w:rPr>
          <w:rFonts w:ascii="Times New Roman" w:hAnsi="Times New Roman" w:cs="Times New Roman" w:eastAsia="Times New Roman"/>
          <w:b w:val="0"/>
          <w:i w:val="0"/>
          <w:color w:val="000000"/>
          <w:sz w:val="28"/>
          <w:szCs w:val="28"/>
        </w:rPr>
        <w:t>- конкурсы – 0 руб.;</w:t>
      </w:r>
    </w:p>
    <w:p>
      <w:pPr>
        <w:spacing w:before="240" w:after="240"/>
        <w:ind w:firstLine="0" w:left="0" w:right="0"/>
        <w:jc w:val="both"/>
        <w:outlineLvl w:val="9"/>
        <w:rPr>
          <w:color w:val="000000"/>
        </w:rPr>
      </w:pPr>
      <w:r>
        <w:rPr>
          <w:rFonts w:ascii="Times New Roman" w:hAnsi="Times New Roman" w:cs="Times New Roman" w:eastAsia="Times New Roman"/>
          <w:b w:val="0"/>
          <w:i w:val="0"/>
          <w:color w:val="000000"/>
          <w:sz w:val="28"/>
          <w:szCs w:val="28"/>
        </w:rPr>
        <w:t xml:space="preserve">- аукционы в электронной форме 20969,87 руб. </w:t>
      </w:r>
    </w:p>
    <w:p>
      <w:pPr>
        <w:spacing w:before="240" w:after="240"/>
        <w:ind w:firstLine="0" w:left="0" w:right="0"/>
        <w:jc w:val="both"/>
        <w:outlineLvl w:val="9"/>
        <w:rPr>
          <w:color w:val="000000"/>
        </w:rPr>
      </w:pPr>
      <w:r>
        <w:rPr>
          <w:rFonts w:ascii="Times New Roman" w:hAnsi="Times New Roman" w:cs="Times New Roman" w:eastAsia="Times New Roman"/>
          <w:b w:val="0"/>
          <w:i w:val="0"/>
          <w:color w:val="000000"/>
          <w:sz w:val="28"/>
          <w:szCs w:val="28"/>
        </w:rPr>
        <w:t>- закупки у единственного поставщика – 918797,94 руб., в том числе по результатам несостоявшихся электронных аукционов (единственная заявка на участие в электронном аукционе) 0 руб.</w:t>
      </w:r>
    </w:p>
    <w:p>
      <w:pPr>
        <w:spacing w:before="240" w:after="240"/>
        <w:ind w:firstLine="0" w:left="0" w:right="0"/>
        <w:jc w:val="both"/>
        <w:outlineLvl w:val="9"/>
        <w:rPr>
          <w:color w:val="000000"/>
        </w:rPr>
      </w:pPr>
      <w:r>
        <w:rPr>
          <w:rFonts w:ascii="Times New Roman" w:hAnsi="Times New Roman" w:cs="Times New Roman" w:eastAsia="Times New Roman"/>
          <w:b w:val="0"/>
          <w:i w:val="0"/>
          <w:color w:val="000000"/>
          <w:sz w:val="28"/>
          <w:szCs w:val="28"/>
        </w:rPr>
        <w:t>- закупки малого объема (до 600 тыс. руб.) – 1384579,42 руб.</w:t>
      </w:r>
    </w:p>
    <w:p>
      <w:pPr>
        <w:spacing w:before="240" w:after="240"/>
        <w:ind w:firstLine="0" w:left="0" w:right="0"/>
        <w:jc w:val="both"/>
        <w:outlineLvl w:val="9"/>
        <w:rPr>
          <w:color w:val="000000"/>
        </w:rPr>
      </w:pPr>
      <w:r>
        <w:rPr>
          <w:rFonts w:ascii="Times New Roman" w:hAnsi="Times New Roman" w:cs="Times New Roman" w:eastAsia="Times New Roman"/>
          <w:b w:val="0"/>
          <w:i w:val="0"/>
          <w:color w:val="000000"/>
          <w:sz w:val="28"/>
          <w:szCs w:val="28"/>
        </w:rPr>
        <w:t>Не состоявшихся торгов – 0, из них не привели к заключению контрактов – 0.</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По состоянию на 01.01.2026 фактическое количество работников составляет 20 человек. Деятельность центра осуществляют 20 человек. Обязанности по ведению бюджетного учета в центре выполняют 2 сотрудника.</w:t>
      </w:r>
    </w:p>
    <w:p>
      <w:pPr>
        <w:spacing w:before="0" w:after="0"/>
        <w:ind w:firstLine="560" w:left="0" w:right="0"/>
        <w:jc w:val="both"/>
        <w:outlineLvl w:val="9"/>
        <w:rPr>
          <w:color w:val="000000"/>
        </w:rPr>
      </w:pPr>
      <w:r>
        <w:rPr>
          <w:rFonts w:ascii="Times New Roman" w:hAnsi="Times New Roman" w:cs="Times New Roman" w:eastAsia="Times New Roman"/>
          <w:b w:val="0"/>
          <w:i w:val="0"/>
          <w:color w:val="000000"/>
          <w:sz w:val="24"/>
          <w:szCs w:val="24"/>
        </w:rPr>
        <w:t> </w:t>
      </w:r>
      <w:r>
        <w:rPr>
          <w:rFonts w:ascii="Times New Roman" w:hAnsi="Times New Roman" w:cs="Times New Roman" w:eastAsia="Times New Roman"/>
          <w:b w:val="0"/>
          <w:i w:val="0"/>
          <w:color w:val="000000"/>
          <w:sz w:val="28"/>
          <w:szCs w:val="28"/>
        </w:rPr>
        <w:t xml:space="preserve">В 2025г. трое сотрудников прошли повышение квалификации в сфере охраны труда и пожарной безопасности. </w:t>
      </w:r>
    </w:p>
    <w:p>
      <w:pPr>
        <w:spacing w:before="240" w:after="240"/>
        <w:ind w:firstLine="0" w:left="0" w:right="0"/>
        <w:jc w:val="center"/>
        <w:outlineLvl w:val="9"/>
        <w:rPr>
          <w:color w:val="000000"/>
        </w:rPr>
      </w:pPr>
      <w:r>
        <w:rPr>
          <w:rFonts w:ascii="Times New Roman" w:hAnsi="Times New Roman" w:cs="Times New Roman" w:eastAsia="Times New Roman"/>
          <w:b w:val="0"/>
          <w:i w:val="0"/>
          <w:color w:val="000000"/>
          <w:sz w:val="24"/>
          <w:szCs w:val="24"/>
        </w:rPr>
        <w:t> </w:t>
      </w:r>
      <w:r>
        <w:rPr>
          <w:rFonts w:ascii="Times New Roman" w:hAnsi="Times New Roman" w:cs="Times New Roman" w:eastAsia="Times New Roman"/>
          <w:b w:val="1"/>
          <w:i w:val="0"/>
          <w:color w:val="000000"/>
          <w:sz w:val="28"/>
          <w:szCs w:val="28"/>
        </w:rPr>
        <w:t>Раздел 3 «Анализ отчета об исполнении бюджета субъектом бюджетной отчетности».</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На отчетную дату центру утверждены ассигнования в сумме 270702402,18 руб., в том числе по средствам, источником которых являются средства федерального бюджета 35988744,89 руб.</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 xml:space="preserve">Кассовый расход за отчетный период составил 270637334,71 руб. (99,98% от ассигнований) в том числе по средствам, источником которых являются средства федерального бюджета 35988353,53  руб. (99,99% от ассигнований). </w:t>
      </w:r>
    </w:p>
    <w:p>
      <w:pPr>
        <w:spacing w:before="0" w:after="0"/>
        <w:ind w:firstLine="0" w:left="0" w:right="0"/>
        <w:jc w:val="both"/>
        <w:outlineLvl w:val="9"/>
        <w:rPr>
          <w:color w:val="000000"/>
        </w:rPr>
      </w:pPr>
      <w:r>
        <w:rPr>
          <w:rFonts w:ascii="Times New Roman" w:hAnsi="Times New Roman" w:cs="Times New Roman" w:eastAsia="Times New Roman"/>
          <w:b w:val="0"/>
          <w:i w:val="0"/>
          <w:color w:val="000000"/>
          <w:sz w:val="24"/>
          <w:szCs w:val="24"/>
        </w:rPr>
        <w:t> </w:t>
      </w:r>
      <w:r>
        <w:rPr>
          <w:rFonts w:ascii="Times New Roman" w:hAnsi="Times New Roman" w:cs="Times New Roman" w:eastAsia="Times New Roman"/>
          <w:b w:val="0"/>
          <w:i w:val="0"/>
          <w:color w:val="000000"/>
          <w:sz w:val="28"/>
          <w:szCs w:val="28"/>
        </w:rPr>
        <w:t xml:space="preserve">Бюджетных обязательств по состоянию на 01.01.2026г. принято на сумму 270637334,71 руб., денежных обязательств принято 270673334,71 руб. Сверх утвержденных ассигнований текущего года бюджетных и денежных обязательств не принято. </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4"/>
          <w:szCs w:val="24"/>
        </w:rPr>
        <w:t> </w:t>
      </w:r>
      <w:r>
        <w:rPr>
          <w:rFonts w:ascii="Times New Roman" w:hAnsi="Times New Roman" w:cs="Times New Roman" w:eastAsia="Times New Roman"/>
          <w:b w:val="0"/>
          <w:i w:val="0"/>
          <w:color w:val="000000"/>
          <w:sz w:val="28"/>
          <w:szCs w:val="28"/>
        </w:rPr>
        <w:t xml:space="preserve">В рамках национального проекта «Демография» </w:t>
      </w:r>
      <w:r>
        <w:rPr>
          <w:rFonts w:ascii="Times New Roman" w:hAnsi="Times New Roman" w:cs="Times New Roman" w:eastAsia="Times New Roman"/>
          <w:b w:val="0"/>
          <w:i w:val="0"/>
          <w:color w:val="000000"/>
          <w:sz w:val="18"/>
          <w:szCs w:val="18"/>
          <w:shd w:val="clear" w:color="auto" w:fill="FFFFFF"/>
        </w:rPr>
        <w:t xml:space="preserve">– </w:t>
      </w:r>
      <w:r>
        <w:rPr>
          <w:rFonts w:ascii="Times New Roman" w:hAnsi="Times New Roman" w:cs="Times New Roman" w:eastAsia="Times New Roman"/>
          <w:b w:val="0"/>
          <w:i w:val="0"/>
          <w:color w:val="000000"/>
          <w:sz w:val="28"/>
          <w:szCs w:val="28"/>
          <w:shd w:val="clear" w:color="auto" w:fill="FFFFFF"/>
        </w:rPr>
        <w:t>"Финансовая поддержка семей при рождении детей"</w:t>
      </w:r>
      <w:r>
        <w:rPr>
          <w:rFonts w:ascii="Times New Roman" w:hAnsi="Times New Roman" w:cs="Times New Roman" w:eastAsia="Times New Roman"/>
          <w:b w:val="0"/>
          <w:i w:val="0"/>
          <w:color w:val="000000"/>
          <w:sz w:val="28"/>
          <w:szCs w:val="28"/>
        </w:rPr>
        <w:t xml:space="preserve"> в 2025г. исполнение показателей при плане 30060316,00 руб. составляет 30060316,00 руб. т.е. 100%.</w:t>
      </w:r>
    </w:p>
    <w:p>
      <w:pPr>
        <w:spacing w:before="240" w:after="240"/>
        <w:ind w:firstLine="0" w:left="0" w:right="0"/>
        <w:jc w:val="center"/>
        <w:outlineLvl w:val="9"/>
        <w:rPr>
          <w:color w:val="000000"/>
        </w:rPr>
      </w:pPr>
      <w:r>
        <w:rPr>
          <w:rFonts w:ascii="Times New Roman" w:hAnsi="Times New Roman" w:cs="Times New Roman" w:eastAsia="Times New Roman"/>
          <w:b w:val="1"/>
          <w:i w:val="0"/>
          <w:color w:val="000000"/>
          <w:sz w:val="28"/>
          <w:szCs w:val="28"/>
        </w:rPr>
        <w:t>Раздел 4 «Анализ показателей бухгалтерской отчетности субъекта бюджетной отчетности».</w:t>
      </w:r>
    </w:p>
    <w:p>
      <w:pPr>
        <w:spacing w:before="0" w:after="0"/>
        <w:ind w:firstLine="560" w:left="0" w:right="0"/>
        <w:jc w:val="left"/>
        <w:outlineLvl w:val="9"/>
        <w:rPr>
          <w:color w:val="000000"/>
        </w:rPr>
      </w:pPr>
      <w:r>
        <w:rPr>
          <w:rFonts w:ascii="Times New Roman" w:hAnsi="Times New Roman" w:cs="Times New Roman" w:eastAsia="Times New Roman"/>
          <w:b w:val="0"/>
          <w:i w:val="0"/>
          <w:color w:val="000000"/>
          <w:sz w:val="24"/>
          <w:szCs w:val="24"/>
        </w:rPr>
        <w:t> </w:t>
      </w:r>
      <w:r>
        <w:rPr>
          <w:rFonts w:ascii="Times New Roman" w:hAnsi="Times New Roman" w:cs="Times New Roman" w:eastAsia="Times New Roman"/>
          <w:b w:val="0"/>
          <w:i w:val="0"/>
          <w:color w:val="000000"/>
          <w:sz w:val="28"/>
          <w:szCs w:val="28"/>
        </w:rPr>
        <w:t>Дебиторская задолженность на 01.01.2026г. составляет 1581517,36 руб., из них 1164532,12 руб. - денежные средства для своевременной и бесперебойной выплаты пособий гражданам на январь ч/з почтовые отделения, 410672,42 руб. задолженность по страховым взносам за декабрь, согласно письма МФ РФ от 20.12.2024 № 02-06-09/129397 денежные средства зарезервированы в налоговом органе уведомлением от 24.12.2025г.. По состоянию на 01.01.2025г. дебиторская задолженность составляла 1687056,66 руб., уменьшение дебиторской задолженности произошло по причине того, что уменьшилось количество получателей через почтовые отделения.</w:t>
      </w:r>
    </w:p>
    <w:p>
      <w:pPr>
        <w:spacing w:before="0" w:after="0"/>
        <w:ind w:firstLine="560" w:left="0" w:right="0"/>
        <w:jc w:val="left"/>
        <w:outlineLvl w:val="9"/>
        <w:rPr>
          <w:color w:val="000000"/>
        </w:rPr>
      </w:pPr>
      <w:r>
        <w:rPr>
          <w:rFonts w:ascii="Times New Roman" w:hAnsi="Times New Roman" w:cs="Times New Roman" w:eastAsia="Times New Roman"/>
          <w:b w:val="0"/>
          <w:i w:val="0"/>
          <w:color w:val="000000"/>
          <w:sz w:val="28"/>
          <w:szCs w:val="28"/>
        </w:rPr>
        <w:t> </w:t>
      </w:r>
    </w:p>
    <w:p>
      <w:pPr>
        <w:spacing w:before="0" w:after="0"/>
        <w:ind w:firstLine="560" w:left="0" w:right="0"/>
        <w:jc w:val="left"/>
        <w:outlineLvl w:val="9"/>
        <w:rPr>
          <w:color w:val="000000"/>
        </w:rPr>
      </w:pPr>
      <w:r>
        <w:rPr>
          <w:rFonts w:ascii="Times New Roman" w:hAnsi="Times New Roman" w:cs="Times New Roman" w:eastAsia="Times New Roman"/>
          <w:b w:val="0"/>
          <w:i w:val="0"/>
          <w:color w:val="000000"/>
          <w:sz w:val="28"/>
          <w:szCs w:val="28"/>
        </w:rPr>
        <w:t>Кредиторская задолженность на 01.01.2026г. составляет 538239,16 руб., из них 127566,74 руб. неоплата по соц.выплатам через почтовые отделения за декабрь и 410672,42 руб. неоплата по страховым взносам за декабрь согласно письма МФ РФ от 23.12.2025 № 17146-04-02-12/40. По состоянию на 01.01.2025г. кредиторская задолженность составляла 604614,57 руб., уменьшение кредиторской задолженности произошло так же по причине того, что уменьшилось количество получателей через почтовые отделения.</w:t>
      </w:r>
    </w:p>
    <w:p>
      <w:pPr>
        <w:spacing w:before="0" w:after="0"/>
        <w:ind w:firstLine="560" w:left="0" w:right="0"/>
        <w:jc w:val="both"/>
        <w:outlineLvl w:val="9"/>
        <w:rPr>
          <w:color w:val="000000"/>
        </w:rPr>
      </w:pPr>
      <w:r>
        <w:rPr>
          <w:rFonts w:ascii="Times New Roman" w:hAnsi="Times New Roman" w:cs="Times New Roman" w:eastAsia="Times New Roman"/>
          <w:b w:val="0"/>
          <w:i w:val="0"/>
          <w:color w:val="000000"/>
          <w:sz w:val="28"/>
          <w:szCs w:val="28"/>
        </w:rPr>
        <w:t>Просроченной кредиторской задолженности на отчетную дату центр не имеет.</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4"/>
          <w:szCs w:val="24"/>
        </w:rPr>
        <w:t> </w:t>
      </w:r>
      <w:r>
        <w:rPr>
          <w:rFonts w:ascii="Times New Roman" w:hAnsi="Times New Roman" w:cs="Times New Roman" w:eastAsia="Times New Roman"/>
          <w:b w:val="0"/>
          <w:i w:val="0"/>
          <w:color w:val="000000"/>
          <w:sz w:val="28"/>
          <w:szCs w:val="28"/>
        </w:rPr>
        <w:t>Перед  годовой отчетностью учреждение провело инвентаризацию, Решение о проведении инвентаризации № 0000-000003 от 24.11.2025. По итогам инвентаризации расхождений нет.</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В Балансе (ф.0503130) на 01.01.2026г. по счету 1 201 35 000 «Денежные документы» на сумму 4434,00,00 руб. отражены маркированные конверты.</w:t>
      </w:r>
    </w:p>
    <w:p>
      <w:pPr>
        <w:spacing w:before="0" w:after="0"/>
        <w:ind w:firstLine="560" w:left="0" w:right="0"/>
        <w:jc w:val="both"/>
        <w:outlineLvl w:val="9"/>
        <w:rPr>
          <w:color w:val="000000"/>
        </w:rPr>
      </w:pPr>
      <w:r>
        <w:rPr>
          <w:rFonts w:ascii="Times New Roman" w:hAnsi="Times New Roman" w:cs="Times New Roman" w:eastAsia="Times New Roman"/>
          <w:b w:val="0"/>
          <w:i w:val="0"/>
          <w:color w:val="000000"/>
          <w:sz w:val="24"/>
          <w:szCs w:val="24"/>
        </w:rPr>
        <w:t> </w:t>
      </w:r>
      <w:r>
        <w:rPr>
          <w:rFonts w:ascii="Times New Roman" w:hAnsi="Times New Roman" w:cs="Times New Roman" w:eastAsia="Times New Roman"/>
          <w:b w:val="0"/>
          <w:i w:val="0"/>
          <w:color w:val="000000"/>
          <w:sz w:val="28"/>
          <w:szCs w:val="28"/>
        </w:rPr>
        <w:t>На забалансовом счете 03 «Бланки строгой отчетности» учитываются бланки транспортных требований по условной оценке: один бланк – один рубль, на 01.01.2026 учитывается 837 шт. бланков, из них 32 шт. удостоверения и 805 шт. транспортные требования, которые находятся у ответственного сотрудника для выдачи физ.лицам, имеющих право на получение данных удостоверений и требований.</w:t>
      </w:r>
    </w:p>
    <w:p>
      <w:pPr>
        <w:spacing w:before="0" w:after="0"/>
        <w:ind w:firstLine="560" w:left="0" w:right="0"/>
        <w:jc w:val="both"/>
        <w:outlineLvl w:val="9"/>
        <w:rPr>
          <w:color w:val="000000"/>
        </w:rPr>
      </w:pPr>
      <w:r>
        <w:rPr>
          <w:rFonts w:ascii="Times New Roman" w:hAnsi="Times New Roman" w:cs="Times New Roman" w:eastAsia="Times New Roman"/>
          <w:b w:val="0"/>
          <w:i w:val="0"/>
          <w:color w:val="000000"/>
          <w:sz w:val="24"/>
          <w:szCs w:val="24"/>
        </w:rPr>
        <w:t> </w:t>
      </w:r>
    </w:p>
    <w:p>
      <w:pPr>
        <w:spacing w:before="0" w:after="0"/>
        <w:ind w:firstLine="0" w:left="0" w:right="0"/>
        <w:jc w:val="both"/>
        <w:outlineLvl w:val="9"/>
        <w:rPr>
          <w:color w:val="000000"/>
        </w:rPr>
      </w:pPr>
      <w:r>
        <w:rPr>
          <w:rFonts w:ascii="Times New Roman" w:hAnsi="Times New Roman" w:cs="Times New Roman" w:eastAsia="Times New Roman"/>
          <w:b w:val="0"/>
          <w:i w:val="0"/>
          <w:color w:val="000000"/>
          <w:sz w:val="28"/>
          <w:szCs w:val="28"/>
        </w:rPr>
        <w:t>На забалансовом счете 20 «списанная задолженность невостребованная кредиторами» отражена задолженность в сумме 1903741,10 руб. – задолженность по выплате ежемесячных пособий на ребенка, образовавшаяся за период 1996-1999 годы, переданная отделом пособий и социальных выплат Черепановского района Новосибирской области.</w:t>
      </w:r>
    </w:p>
    <w:p>
      <w:pPr>
        <w:spacing w:before="0" w:after="0"/>
        <w:ind w:firstLine="0" w:left="0" w:right="0"/>
        <w:jc w:val="both"/>
        <w:outlineLvl w:val="9"/>
        <w:rPr>
          <w:color w:val="000000"/>
        </w:rPr>
      </w:pPr>
      <w:r>
        <w:rPr>
          <w:rFonts w:ascii="Times New Roman" w:hAnsi="Times New Roman" w:cs="Times New Roman" w:eastAsia="Times New Roman"/>
          <w:b w:val="0"/>
          <w:i w:val="0"/>
          <w:color w:val="000000"/>
          <w:sz w:val="24"/>
          <w:szCs w:val="24"/>
        </w:rPr>
        <w:t> </w:t>
      </w:r>
    </w:p>
    <w:p>
      <w:pPr>
        <w:spacing w:before="0" w:after="0"/>
        <w:ind w:firstLine="0" w:left="0" w:right="0"/>
        <w:jc w:val="both"/>
        <w:outlineLvl w:val="9"/>
        <w:rPr>
          <w:color w:val="000000"/>
        </w:rPr>
      </w:pPr>
      <w:r>
        <w:rPr>
          <w:rFonts w:ascii="Times New Roman" w:hAnsi="Times New Roman" w:cs="Times New Roman" w:eastAsia="Times New Roman"/>
          <w:b w:val="0"/>
          <w:i w:val="0"/>
          <w:color w:val="000000"/>
          <w:sz w:val="28"/>
          <w:szCs w:val="28"/>
        </w:rPr>
        <w:t>На забалансовом счете 30 «расчеты по исполнению денежных обязательств через третьих лиц» в сумме 1164532,12 руб. отражены расчеты по выплате пособий через отделения почты Россия.</w:t>
      </w:r>
    </w:p>
    <w:p>
      <w:pPr>
        <w:spacing w:before="0" w:after="0"/>
        <w:ind w:firstLine="0" w:left="0" w:right="0"/>
        <w:jc w:val="both"/>
        <w:outlineLvl w:val="9"/>
        <w:rPr>
          <w:color w:val="000000"/>
        </w:rPr>
      </w:pPr>
      <w:r>
        <w:rPr>
          <w:rFonts w:ascii="Times New Roman" w:hAnsi="Times New Roman" w:cs="Times New Roman" w:eastAsia="Times New Roman"/>
          <w:b w:val="0"/>
          <w:i w:val="0"/>
          <w:color w:val="000000"/>
          <w:sz w:val="24"/>
          <w:szCs w:val="24"/>
        </w:rPr>
        <w:t> </w:t>
      </w:r>
    </w:p>
    <w:p>
      <w:pPr>
        <w:spacing w:before="0" w:after="0"/>
        <w:ind w:firstLine="560" w:left="0" w:right="0"/>
        <w:jc w:val="both"/>
        <w:outlineLvl w:val="9"/>
        <w:rPr>
          <w:color w:val="000000"/>
        </w:rPr>
      </w:pPr>
      <w:r>
        <w:rPr>
          <w:rFonts w:ascii="Times New Roman" w:hAnsi="Times New Roman" w:cs="Times New Roman" w:eastAsia="Times New Roman"/>
          <w:b w:val="0"/>
          <w:i w:val="0"/>
          <w:color w:val="000000"/>
          <w:sz w:val="28"/>
          <w:szCs w:val="28"/>
        </w:rPr>
        <w:t xml:space="preserve">На 01.01.2026 года остаток резервов на счете 1.401.60 составил 485510,46 руб. – это резерв на оплату отпусков, включая расходы на уплату страховых взносов. На 01.01.2025 года остаток резервов на счете 1.401.60 составлял 494882,39 руб. – это также резерв на оплату отпусков, включая расходы на уплату страховых взносов. </w:t>
      </w:r>
    </w:p>
    <w:p>
      <w:pPr>
        <w:spacing w:before="0" w:after="0"/>
        <w:ind w:firstLine="560" w:left="0" w:right="0"/>
        <w:jc w:val="both"/>
        <w:outlineLvl w:val="9"/>
        <w:rPr>
          <w:color w:val="000000"/>
        </w:rPr>
      </w:pPr>
      <w:r>
        <w:rPr>
          <w:rFonts w:ascii="Times New Roman" w:hAnsi="Times New Roman" w:cs="Times New Roman" w:eastAsia="Times New Roman"/>
          <w:b w:val="0"/>
          <w:i w:val="0"/>
          <w:color w:val="000000"/>
          <w:sz w:val="24"/>
          <w:szCs w:val="24"/>
        </w:rPr>
        <w:t> </w:t>
      </w:r>
    </w:p>
    <w:p>
      <w:pPr>
        <w:spacing w:before="0" w:after="0"/>
        <w:ind w:firstLine="560" w:left="0" w:right="0"/>
        <w:jc w:val="both"/>
        <w:outlineLvl w:val="9"/>
        <w:rPr>
          <w:color w:val="000000"/>
        </w:rPr>
      </w:pPr>
      <w:r>
        <w:rPr>
          <w:rFonts w:ascii="Times New Roman" w:hAnsi="Times New Roman" w:cs="Times New Roman" w:eastAsia="Times New Roman"/>
          <w:b w:val="0"/>
          <w:i w:val="0"/>
          <w:color w:val="000000"/>
          <w:sz w:val="28"/>
          <w:szCs w:val="28"/>
        </w:rPr>
        <w:t>За отчетный период начислены следующие налоги и взносы в составе ЕНП по счетам:</w:t>
      </w:r>
    </w:p>
    <w:p>
      <w:pPr>
        <w:spacing w:before="0" w:after="0"/>
        <w:ind w:firstLine="560" w:left="0" w:right="0"/>
        <w:jc w:val="both"/>
        <w:outlineLvl w:val="9"/>
        <w:rPr>
          <w:color w:val="000000"/>
        </w:rPr>
      </w:pPr>
      <w:r>
        <w:rPr>
          <w:rFonts w:ascii="Times New Roman" w:hAnsi="Times New Roman" w:cs="Times New Roman" w:eastAsia="Times New Roman"/>
          <w:b w:val="0"/>
          <w:i w:val="0"/>
          <w:color w:val="000000"/>
          <w:sz w:val="28"/>
          <w:szCs w:val="28"/>
        </w:rPr>
        <w:t>– 303.01 НДФЛ в сумме 1972386,00 руб.</w:t>
      </w:r>
    </w:p>
    <w:p>
      <w:pPr>
        <w:spacing w:before="0" w:after="0"/>
        <w:ind w:firstLine="560" w:left="0" w:right="0"/>
        <w:jc w:val="both"/>
        <w:outlineLvl w:val="9"/>
        <w:rPr>
          <w:color w:val="000000"/>
        </w:rPr>
      </w:pPr>
      <w:r>
        <w:rPr>
          <w:rFonts w:ascii="Times New Roman" w:hAnsi="Times New Roman" w:cs="Times New Roman" w:eastAsia="Times New Roman"/>
          <w:b w:val="0"/>
          <w:i w:val="0"/>
          <w:color w:val="000000"/>
          <w:sz w:val="28"/>
          <w:szCs w:val="28"/>
        </w:rPr>
        <w:t>– 303.15 страховые взносы в сумме 4711470,55 руб.</w:t>
      </w:r>
    </w:p>
    <w:p>
      <w:pPr>
        <w:spacing w:before="0" w:after="0"/>
        <w:ind w:firstLine="560" w:left="0" w:right="0"/>
        <w:jc w:val="both"/>
        <w:outlineLvl w:val="9"/>
        <w:rPr>
          <w:color w:val="000000"/>
        </w:rPr>
      </w:pPr>
      <w:r>
        <w:rPr>
          <w:rFonts w:ascii="Times New Roman" w:hAnsi="Times New Roman" w:cs="Times New Roman" w:eastAsia="Times New Roman"/>
          <w:b w:val="0"/>
          <w:i w:val="0"/>
          <w:color w:val="000000"/>
          <w:sz w:val="28"/>
          <w:szCs w:val="28"/>
        </w:rPr>
        <w:t>– 303.05 транспортный налог в сумме 1751,00 руб.</w:t>
      </w:r>
    </w:p>
    <w:p>
      <w:pPr>
        <w:spacing w:before="240" w:after="240"/>
        <w:ind w:firstLine="0" w:left="0" w:right="0"/>
        <w:jc w:val="both"/>
        <w:outlineLvl w:val="9"/>
        <w:rPr>
          <w:color w:val="000000"/>
        </w:rPr>
      </w:pPr>
      <w:r>
        <w:rPr>
          <w:rFonts w:ascii="Times New Roman" w:hAnsi="Times New Roman" w:cs="Times New Roman" w:eastAsia="Times New Roman"/>
          <w:b w:val="0"/>
          <w:i w:val="0"/>
          <w:color w:val="000000"/>
          <w:sz w:val="24"/>
          <w:szCs w:val="24"/>
        </w:rPr>
        <w:t> </w:t>
      </w:r>
      <w:r>
        <w:rPr>
          <w:rFonts w:ascii="Times New Roman" w:hAnsi="Times New Roman" w:cs="Times New Roman" w:eastAsia="Times New Roman"/>
          <w:b w:val="0"/>
          <w:i w:val="0"/>
          <w:color w:val="000000"/>
          <w:sz w:val="28"/>
          <w:szCs w:val="28"/>
        </w:rPr>
        <w:t xml:space="preserve">На перечисленные суммы в установленные сроки направлены уведомления о распределении сумм в ИФНС. Задолженности по налогам на 01.01.2026г. не имеем. </w:t>
      </w:r>
    </w:p>
    <w:p>
      <w:pPr>
        <w:spacing w:before="240" w:after="240"/>
        <w:ind w:firstLine="0" w:left="0" w:right="0"/>
        <w:jc w:val="center"/>
        <w:outlineLvl w:val="9"/>
        <w:rPr>
          <w:color w:val="000000"/>
        </w:rPr>
      </w:pPr>
      <w:r>
        <w:rPr>
          <w:rFonts w:ascii="Times New Roman" w:hAnsi="Times New Roman" w:cs="Times New Roman" w:eastAsia="Times New Roman"/>
          <w:b w:val="0"/>
          <w:i w:val="0"/>
          <w:color w:val="000000"/>
          <w:sz w:val="24"/>
          <w:szCs w:val="24"/>
        </w:rPr>
        <w:t> </w:t>
      </w:r>
      <w:r>
        <w:rPr>
          <w:rFonts w:ascii="Times New Roman" w:hAnsi="Times New Roman" w:cs="Times New Roman" w:eastAsia="Times New Roman"/>
          <w:b w:val="1"/>
          <w:i w:val="0"/>
          <w:color w:val="000000"/>
          <w:sz w:val="28"/>
          <w:szCs w:val="28"/>
        </w:rPr>
        <w:t>Раздел 5 «Прочие вопросы деятельности субъекта бюджетной отчетности».</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Бухгалтерский учет в отделе организован в соответствии с приказами Министерства финансов Российской Федерации от 01.12.2010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 от 06.12.2012 № 162н «Об утверждении плана счетов бюджетного учета и инструкции по его применению», Федеральным Законом от 06.12.2011 № 402-ФЗ «О бухгалтерском учете».</w:t>
      </w:r>
    </w:p>
    <w:p>
      <w:pPr>
        <w:spacing w:before="0" w:after="0"/>
        <w:ind w:firstLine="560" w:left="0" w:right="0"/>
        <w:jc w:val="both"/>
        <w:outlineLvl w:val="9"/>
        <w:rPr>
          <w:color w:val="000000"/>
        </w:rPr>
      </w:pPr>
      <w:r>
        <w:rPr>
          <w:rFonts w:ascii="Times New Roman" w:hAnsi="Times New Roman" w:cs="Times New Roman" w:eastAsia="Times New Roman"/>
          <w:b w:val="0"/>
          <w:i w:val="0"/>
          <w:color w:val="000000"/>
          <w:sz w:val="28"/>
          <w:szCs w:val="28"/>
        </w:rPr>
        <w:t xml:space="preserve">В соответствии п.5 ст.160.2-1 Бюджетного кодекса Российской Федерации в целях организации внутреннего финансового аудита, в центре применяется упрощенное осуществление внутреннего финансового аудита (ВФУ). </w:t>
      </w:r>
    </w:p>
    <w:p>
      <w:pPr>
        <w:spacing w:before="0" w:after="0"/>
        <w:ind w:firstLine="560" w:left="0" w:right="0"/>
        <w:jc w:val="both"/>
        <w:outlineLvl w:val="9"/>
        <w:rPr>
          <w:color w:val="000000"/>
        </w:rPr>
      </w:pPr>
      <w:r>
        <w:rPr>
          <w:rFonts w:ascii="Times New Roman" w:hAnsi="Times New Roman" w:cs="Times New Roman" w:eastAsia="Times New Roman"/>
          <w:b w:val="0"/>
          <w:i w:val="0"/>
          <w:color w:val="000000"/>
          <w:sz w:val="28"/>
          <w:szCs w:val="28"/>
        </w:rPr>
        <w:t> Аналитический учет расчетов по пособиям, компенсациям и социальным выплатам в бюджете ведется по контрагентам и кредитным организациям, осуществляющих доставку выплат.</w:t>
      </w:r>
    </w:p>
    <w:p>
      <w:pPr>
        <w:spacing w:before="240" w:after="240"/>
        <w:ind w:firstLine="560" w:left="0" w:right="0"/>
        <w:jc w:val="both"/>
        <w:outlineLvl w:val="9"/>
        <w:rPr>
          <w:color w:val="000000"/>
        </w:rPr>
      </w:pPr>
      <w:r>
        <w:rPr>
          <w:rFonts w:ascii="Times New Roman" w:hAnsi="Times New Roman" w:cs="Times New Roman" w:eastAsia="Times New Roman"/>
          <w:b w:val="0"/>
          <w:i w:val="0"/>
          <w:color w:val="000000"/>
          <w:sz w:val="28"/>
          <w:szCs w:val="28"/>
        </w:rPr>
        <w:t>Учет ведется автоматизированным способом с использованием программного продукта «1С: Предприятие».</w:t>
      </w:r>
    </w:p>
    <w:p>
      <w:pPr>
        <w:spacing w:before="0" w:after="0"/>
        <w:ind w:firstLine="0" w:left="0" w:right="0"/>
        <w:jc w:val="left"/>
        <w:outlineLvl w:val="9"/>
        <w:rPr>
          <w:color w:val="000000"/>
        </w:rPr>
      </w:pPr>
      <w:r>
        <w:rPr>
          <w:rFonts w:ascii="Times New Roman" w:hAnsi="Times New Roman" w:cs="Times New Roman" w:eastAsia="Times New Roman"/>
          <w:b w:val="0"/>
          <w:i w:val="0"/>
          <w:color w:val="000000"/>
          <w:sz w:val="28"/>
          <w:szCs w:val="28"/>
        </w:rPr>
        <w:t>Бюджетная отчетность достоверна и соответствует порядку ведения бюджетного учета единой методологии бюджетного учета, составления и предоставления, установленной Министерством финансов Российской Федерации, а так же НПА субъекта.</w:t>
      </w:r>
    </w:p>
    <w:p>
      <w:pPr>
        <w:spacing w:before="0" w:after="0"/>
        <w:ind w:firstLine="0" w:left="0" w:right="0"/>
        <w:outlineLvl w:val="9"/>
      </w:pPr>
      <w:r>
        <w:t> </w:t>
      </w:r>
    </w:p>
    <w:p>
      <w:pPr>
        <w:spacing w:before="0" w:after="0"/>
        <w:ind w:firstLine="0" w:left="0" w:right="0"/>
        <w:outlineLvl w:val="9"/>
        <w:rPr>
          <w:rFonts w:ascii="Times New Roman" w:hAnsi="Times New Roman" w:cs="Times New Roman" w:eastAsia="Times New Roman"/>
          <w:sz w:val="24"/>
        </w:rPr>
      </w:pPr>
      <w:r>
        <w:rPr>
          <w:rFonts w:ascii="Times New Roman" w:hAnsi="Times New Roman" w:cs="Times New Roman" w:eastAsia="Times New Roman"/>
          <w:sz w:val="24"/>
          <w:szCs w:val="24"/>
        </w:rPr>
        <w:t> </w:t>
      </w:r>
    </w:p>
    <w:tbl>
      <w:tblPr>
        <w:tblW w:w="9380" w:type="dxa"/>
        <w:tblInd w:w="96" w:type="dxa"/>
        <w:tblBorders>
          <w:top w:val="nil" w:sz="0" w:space="0" w:shadow="0" w:frame="0" w:color="000000"/>
          <w:left w:val="nil" w:sz="0" w:space="0" w:shadow="0" w:frame="0" w:color="000000"/>
          <w:bottom w:val="nil" w:sz="0" w:space="0" w:shadow="0" w:frame="0" w:color="000000"/>
          <w:right w:val="nil" w:sz="0" w:space="0" w:shadow="0" w:frame="0" w:color="000000"/>
          <w:insideH w:val="none" w:sz="0" w:space="0" w:shadow="0" w:frame="0" w:color="auto"/>
          <w:insideV w:val="none" w:sz="0" w:space="0" w:shadow="0" w:frame="0" w:color="auto"/>
        </w:tblBorders>
        <w:tblLayout w:type="autofit"/>
        <w:tblCellMar>
          <w:top w:w="0" w:type="dxa"/>
          <w:left w:w="0" w:type="dxa"/>
          <w:bottom w:w="0" w:type="dxa"/>
          <w:right w:w="0" w:type="dxa"/>
        </w:tblCellMar>
      </w:tblPr>
      <w:tblGrid>
        <w:gridCol w:w="3570"/>
        <w:gridCol w:w="4716"/>
        <w:gridCol w:w="2121"/>
      </w:tblGrid>
      <w:tr>
        <w:tc>
          <w:tcPr>
            <w:tcW w:w="3570" w:type="dxa"/>
            <w:tcMar>
              <w:top w:w="0" w:type="dxa"/>
              <w:left w:w="108" w:type="dxa"/>
              <w:bottom w:w="0" w:type="dxa"/>
              <w:right w:w="108" w:type="dxa"/>
            </w:tcMar>
            <w:vAlign w:val="center"/>
            <w:hideMark/>
          </w:tcPr>
          <w:p>
            <w:pPr>
              <w:spacing w:before="0" w:after="0"/>
              <w:ind w:left="0" w:right="0"/>
              <w:rPr>
                <w:rFonts w:ascii="Times New Roman" w:hAnsi="Times New Roman" w:cs="Times New Roman" w:eastAsia="Times New Roman"/>
                <w:sz w:val="24"/>
              </w:rPr>
            </w:pPr>
            <w:r>
              <w:rPr>
                <w:rFonts w:ascii="Times New Roman" w:hAnsi="Times New Roman" w:cs="Times New Roman" w:eastAsia="Times New Roman"/>
                <w:sz w:val="20"/>
                <w:szCs w:val="20"/>
              </w:rPr>
              <w:t>Руководитель</w:t>
            </w:r>
          </w:p>
        </w:tc>
        <w:tc>
          <w:tcPr>
            <w:tcW w:w="2040" w:type="dxa"/>
            <w:tcMar>
              <w:top w:w="0" w:type="dxa"/>
              <w:left w:w="108" w:type="dxa"/>
              <w:bottom w:w="0" w:type="dxa"/>
              <w:right w:w="108" w:type="dxa"/>
            </w:tcMar>
            <w:vAlign w:val="center"/>
            <w:hideMark/>
          </w:tcPr>
          <w:p>
            <w:pPr>
              <w:spacing w:before="0" w:after="0"/>
              <w:ind w:left="0" w:right="0"/>
              <w:rPr>
                <w:rFonts w:ascii="Times New Roman" w:hAnsi="Times New Roman" w:cs="Times New Roman" w:eastAsia="Times New Roman"/>
                <w:sz w:val="24"/>
              </w:rPr>
            </w:pPr>
            <w:r>
              <w:drawing>
                <wp:inline xmlns:wp="http://schemas.openxmlformats.org/drawingml/2006/wordprocessingDrawing">
                  <wp:extent cx="2857500" cy="9525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2857500" cy="952500"/>
                          </a:xfrm>
                          <a:prstGeom prst="rect"/>
                          <a:noFill/>
                        </pic:spPr>
                      </pic:pic>
                    </a:graphicData>
                  </a:graphic>
                </wp:inline>
              </w:drawing>
            </w:r>
          </w:p>
        </w:tc>
        <w:tc>
          <w:tcPr>
            <w:tcW w:w="0" w:type="auto"/>
            <w:tcMar>
              <w:top w:w="0" w:type="dxa"/>
              <w:left w:w="108" w:type="dxa"/>
              <w:bottom w:w="0" w:type="dxa"/>
              <w:right w:w="108" w:type="dxa"/>
            </w:tcMar>
            <w:vAlign w:val="center"/>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20"/>
                <w:szCs w:val="20"/>
                <w:u w:val="single"/>
              </w:rPr>
              <w:t>Смакотина Ольга Владимировна</w:t>
            </w:r>
          </w:p>
        </w:tc>
      </w:tr>
      <w:tr>
        <w:trPr>
          <w:trHeight w:hRule="atLeast" w:val="280"/>
        </w:trPr>
        <w:tc>
          <w:tcPr>
            <w:tcW w:w="3570" w:type="dxa"/>
            <w:noWrap/>
            <w:tcMar>
              <w:top w:w="0" w:type="dxa"/>
              <w:left w:w="108" w:type="dxa"/>
              <w:bottom w:w="0" w:type="dxa"/>
              <w:right w:w="108" w:type="dxa"/>
            </w:tcMar>
            <w:vAlign w:val="bottom"/>
            <w:hideMark/>
          </w:tcPr>
          <w:p>
            <w:pPr>
              <w:ind w:left="0" w:right="0"/>
              <w:rPr>
                <w:sz w:val="24"/>
              </w:rPr>
            </w:pPr>
          </w:p>
        </w:tc>
        <w:tc>
          <w:tcPr>
            <w:tcW w:w="2040" w:type="dxa"/>
            <w:tcMar>
              <w:top w:w="0" w:type="dxa"/>
              <w:left w:w="108" w:type="dxa"/>
              <w:bottom w:w="0" w:type="dxa"/>
              <w:right w:w="108" w:type="dxa"/>
            </w:tcMar>
            <w:vAlign w:val="center"/>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20"/>
                <w:szCs w:val="20"/>
              </w:rPr>
              <w:t>(подпись)</w:t>
            </w:r>
          </w:p>
        </w:tc>
        <w:tc>
          <w:tcPr>
            <w:tcW w:w="0" w:type="auto"/>
            <w:tcMar>
              <w:top w:w="0" w:type="dxa"/>
              <w:left w:w="108" w:type="dxa"/>
              <w:bottom w:w="0" w:type="dxa"/>
              <w:right w:w="108" w:type="dxa"/>
            </w:tcMar>
            <w:vAlign w:val="center"/>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20"/>
                <w:szCs w:val="20"/>
              </w:rPr>
              <w:t>(расшифровка подписи)</w:t>
            </w:r>
          </w:p>
        </w:tc>
      </w:tr>
      <w:tr>
        <w:trPr>
          <w:trHeight w:hRule="atLeast" w:val="281"/>
        </w:trPr>
        <w:tc>
          <w:tcPr>
            <w:tcW w:w="0" w:type="auto"/>
            <w:gridSpan w:val="3"/>
            <w:noWrap/>
            <w:tcMar>
              <w:top w:w="0" w:type="dxa"/>
              <w:left w:w="108" w:type="dxa"/>
              <w:bottom w:w="0" w:type="dxa"/>
              <w:right w:w="108" w:type="dxa"/>
            </w:tcMar>
            <w:vAlign w:val="bottom"/>
            <w:hideMark/>
          </w:tcPr>
          <w:p>
            <w:pPr>
              <w:spacing w:before="0" w:after="0"/>
              <w:ind w:left="0" w:right="0"/>
              <w:rPr>
                <w:rFonts w:ascii="Times New Roman" w:hAnsi="Times New Roman" w:cs="Times New Roman" w:eastAsia="Times New Roman"/>
                <w:sz w:val="24"/>
              </w:rPr>
            </w:pPr>
            <w:r>
              <w:rPr>
                <w:rFonts w:ascii="Times New Roman" w:hAnsi="Times New Roman" w:cs="Times New Roman" w:eastAsia="Times New Roman"/>
                <w:sz w:val="20"/>
                <w:szCs w:val="20"/>
              </w:rPr>
              <w:t> </w:t>
            </w:r>
          </w:p>
        </w:tc>
      </w:tr>
      <w:tr>
        <w:trPr>
          <w:trHeight w:hRule="atLeast" w:val="281"/>
        </w:trPr>
        <w:tc>
          <w:tcPr>
            <w:tcW w:w="3570" w:type="dxa"/>
            <w:tcMar>
              <w:top w:w="0" w:type="dxa"/>
              <w:left w:w="108" w:type="dxa"/>
              <w:bottom w:w="0" w:type="dxa"/>
              <w:right w:w="108" w:type="dxa"/>
            </w:tcMar>
            <w:vAlign w:val="center"/>
            <w:hideMark/>
          </w:tcPr>
          <w:p>
            <w:pPr>
              <w:spacing w:before="0" w:after="0"/>
              <w:ind w:left="0" w:right="0"/>
              <w:rPr>
                <w:rFonts w:ascii="Times New Roman" w:hAnsi="Times New Roman" w:cs="Times New Roman" w:eastAsia="Times New Roman"/>
                <w:sz w:val="24"/>
              </w:rPr>
            </w:pPr>
            <w:r>
              <w:rPr>
                <w:rFonts w:ascii="Times New Roman" w:hAnsi="Times New Roman" w:cs="Times New Roman" w:eastAsia="Times New Roman"/>
                <w:sz w:val="20"/>
                <w:szCs w:val="20"/>
              </w:rPr>
              <w:t>Руководитель планово-</w:t>
            </w:r>
          </w:p>
        </w:tc>
        <w:tc>
          <w:tcPr>
            <w:tcW w:w="2040" w:type="dxa"/>
            <w:tcMar>
              <w:top w:w="0" w:type="dxa"/>
              <w:left w:w="108" w:type="dxa"/>
              <w:bottom w:w="0" w:type="dxa"/>
              <w:right w:w="108" w:type="dxa"/>
            </w:tcMar>
            <w:vAlign w:val="center"/>
            <w:hideMark/>
          </w:tcPr>
          <w:p>
            <w:pPr>
              <w:spacing w:before="0" w:after="0"/>
              <w:ind w:left="0" w:right="0"/>
              <w:rPr>
                <w:rFonts w:ascii="Times New Roman" w:hAnsi="Times New Roman" w:cs="Times New Roman" w:eastAsia="Times New Roman"/>
                <w:sz w:val="24"/>
              </w:rPr>
            </w:pPr>
            <w:r>
              <w:drawing>
                <wp:inline xmlns:wp="http://schemas.openxmlformats.org/drawingml/2006/wordprocessingDrawing">
                  <wp:extent cx="2857500" cy="9525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tretch>
                            <a:fillRect/>
                          </a:stretch>
                        </pic:blipFill>
                        <pic:spPr>
                          <a:xfrm>
                            <a:off x="0" y="0"/>
                            <a:ext cx="2857500" cy="952500"/>
                          </a:xfrm>
                          <a:prstGeom prst="rect"/>
                          <a:noFill/>
                        </pic:spPr>
                      </pic:pic>
                    </a:graphicData>
                  </a:graphic>
                </wp:inline>
              </w:drawing>
            </w:r>
          </w:p>
        </w:tc>
        <w:tc>
          <w:tcPr>
            <w:tcW w:w="0" w:type="auto"/>
            <w:tcMar>
              <w:top w:w="0" w:type="dxa"/>
              <w:left w:w="108" w:type="dxa"/>
              <w:bottom w:w="0" w:type="dxa"/>
              <w:right w:w="108" w:type="dxa"/>
            </w:tcMar>
            <w:vAlign w:val="center"/>
            <w:hideMark/>
          </w:tcPr>
          <w:p>
            <w:pPr>
              <w:ind w:left="0" w:right="0"/>
              <w:rPr>
                <w:sz w:val="24"/>
              </w:rPr>
            </w:pPr>
          </w:p>
        </w:tc>
      </w:tr>
      <w:tr>
        <w:trPr>
          <w:trHeight w:hRule="atLeast" w:val="281"/>
        </w:trPr>
        <w:tc>
          <w:tcPr>
            <w:tcW w:w="3570" w:type="dxa"/>
            <w:tcMar>
              <w:top w:w="0" w:type="dxa"/>
              <w:left w:w="108" w:type="dxa"/>
              <w:bottom w:w="0" w:type="dxa"/>
              <w:right w:w="108" w:type="dxa"/>
            </w:tcMar>
            <w:vAlign w:val="center"/>
            <w:hideMark/>
          </w:tcPr>
          <w:p>
            <w:pPr>
              <w:spacing w:before="0" w:after="0"/>
              <w:ind w:left="0" w:right="0"/>
              <w:rPr>
                <w:rFonts w:ascii="Times New Roman" w:hAnsi="Times New Roman" w:cs="Times New Roman" w:eastAsia="Times New Roman"/>
                <w:sz w:val="24"/>
              </w:rPr>
            </w:pPr>
            <w:r>
              <w:rPr>
                <w:rFonts w:ascii="Times New Roman" w:hAnsi="Times New Roman" w:cs="Times New Roman" w:eastAsia="Times New Roman"/>
                <w:sz w:val="20"/>
                <w:szCs w:val="20"/>
              </w:rPr>
              <w:t>экономической службы</w:t>
            </w:r>
          </w:p>
        </w:tc>
        <w:tc>
          <w:tcPr>
            <w:tcW w:w="2040" w:type="dxa"/>
            <w:tcMar>
              <w:top w:w="0" w:type="dxa"/>
              <w:left w:w="108" w:type="dxa"/>
              <w:bottom w:w="0" w:type="dxa"/>
              <w:right w:w="108" w:type="dxa"/>
            </w:tcMar>
            <w:vAlign w:val="center"/>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20"/>
                <w:szCs w:val="20"/>
              </w:rPr>
              <w:t>(подпись)</w:t>
            </w:r>
          </w:p>
        </w:tc>
        <w:tc>
          <w:tcPr>
            <w:tcW w:w="0" w:type="auto"/>
            <w:tcMar>
              <w:top w:w="0" w:type="dxa"/>
              <w:left w:w="108" w:type="dxa"/>
              <w:bottom w:w="0" w:type="dxa"/>
              <w:right w:w="108" w:type="dxa"/>
            </w:tcMar>
            <w:vAlign w:val="center"/>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20"/>
                <w:szCs w:val="20"/>
              </w:rPr>
              <w:t>(расшифровка подписи)</w:t>
            </w:r>
          </w:p>
        </w:tc>
      </w:tr>
      <w:tr>
        <w:trPr>
          <w:trHeight w:hRule="atLeast" w:val="281"/>
        </w:trPr>
        <w:tc>
          <w:tcPr>
            <w:tcW w:w="0" w:type="auto"/>
            <w:gridSpan w:val="3"/>
            <w:noWrap/>
            <w:tcMar>
              <w:top w:w="0" w:type="dxa"/>
              <w:left w:w="108" w:type="dxa"/>
              <w:bottom w:w="0" w:type="dxa"/>
              <w:right w:w="108" w:type="dxa"/>
            </w:tcMar>
            <w:vAlign w:val="bottom"/>
            <w:hideMark/>
          </w:tcPr>
          <w:p>
            <w:pPr>
              <w:ind w:left="0" w:right="0"/>
              <w:rPr>
                <w:sz w:val="24"/>
              </w:rPr>
            </w:pPr>
          </w:p>
        </w:tc>
      </w:tr>
      <w:tr>
        <w:trPr>
          <w:trHeight w:hRule="atLeast" w:val="281"/>
        </w:trPr>
        <w:tc>
          <w:tcPr>
            <w:tcW w:w="3570" w:type="dxa"/>
            <w:tcMar>
              <w:top w:w="0" w:type="dxa"/>
              <w:left w:w="108" w:type="dxa"/>
              <w:bottom w:w="0" w:type="dxa"/>
              <w:right w:w="108" w:type="dxa"/>
            </w:tcMar>
            <w:vAlign w:val="center"/>
            <w:hideMark/>
          </w:tcPr>
          <w:p>
            <w:pPr>
              <w:spacing w:before="0" w:after="0"/>
              <w:ind w:left="0" w:right="0"/>
              <w:rPr>
                <w:rFonts w:ascii="Times New Roman" w:hAnsi="Times New Roman" w:cs="Times New Roman" w:eastAsia="Times New Roman"/>
                <w:sz w:val="24"/>
              </w:rPr>
            </w:pPr>
            <w:r>
              <w:rPr>
                <w:rFonts w:ascii="Times New Roman" w:hAnsi="Times New Roman" w:cs="Times New Roman" w:eastAsia="Times New Roman"/>
                <w:sz w:val="20"/>
                <w:szCs w:val="20"/>
              </w:rPr>
              <w:t>Главный</w:t>
            </w:r>
          </w:p>
        </w:tc>
        <w:tc>
          <w:tcPr>
            <w:tcW w:w="2040" w:type="dxa"/>
            <w:tcMar>
              <w:top w:w="0" w:type="dxa"/>
              <w:left w:w="108" w:type="dxa"/>
              <w:bottom w:w="0" w:type="dxa"/>
              <w:right w:w="108" w:type="dxa"/>
            </w:tcMar>
            <w:vAlign w:val="center"/>
            <w:hideMark/>
          </w:tcPr>
          <w:p>
            <w:pPr>
              <w:spacing w:before="0" w:after="0"/>
              <w:ind w:left="0" w:right="0"/>
              <w:rPr>
                <w:rFonts w:ascii="Times New Roman" w:hAnsi="Times New Roman" w:cs="Times New Roman" w:eastAsia="Times New Roman"/>
                <w:sz w:val="24"/>
              </w:rPr>
            </w:pPr>
            <w:r>
              <w:drawing>
                <wp:inline xmlns:wp="http://schemas.openxmlformats.org/drawingml/2006/wordprocessingDrawing">
                  <wp:extent cx="2857500" cy="9525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3"/>
                          <a:stretch>
                            <a:fillRect/>
                          </a:stretch>
                        </pic:blipFill>
                        <pic:spPr>
                          <a:xfrm>
                            <a:off x="0" y="0"/>
                            <a:ext cx="2857500" cy="952500"/>
                          </a:xfrm>
                          <a:prstGeom prst="rect"/>
                          <a:noFill/>
                        </pic:spPr>
                      </pic:pic>
                    </a:graphicData>
                  </a:graphic>
                </wp:inline>
              </w:drawing>
            </w:r>
          </w:p>
        </w:tc>
        <w:tc>
          <w:tcPr>
            <w:tcW w:w="0" w:type="auto"/>
            <w:noWrap/>
            <w:tcMar>
              <w:top w:w="0" w:type="dxa"/>
              <w:left w:w="108" w:type="dxa"/>
              <w:bottom w:w="0" w:type="dxa"/>
              <w:right w:w="108" w:type="dxa"/>
            </w:tcMar>
            <w:vAlign w:val="bottom"/>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20"/>
                <w:szCs w:val="20"/>
                <w:u w:val="single"/>
              </w:rPr>
              <w:t>Пчела Вера Сергеевна</w:t>
            </w:r>
          </w:p>
        </w:tc>
      </w:tr>
      <w:tr>
        <w:trPr>
          <w:trHeight w:hRule="atLeast" w:val="281"/>
        </w:trPr>
        <w:tc>
          <w:tcPr>
            <w:tcW w:w="3570" w:type="dxa"/>
            <w:tcMar>
              <w:top w:w="0" w:type="dxa"/>
              <w:left w:w="108" w:type="dxa"/>
              <w:bottom w:w="0" w:type="dxa"/>
              <w:right w:w="108" w:type="dxa"/>
            </w:tcMar>
            <w:vAlign w:val="center"/>
            <w:hideMark/>
          </w:tcPr>
          <w:p>
            <w:pPr>
              <w:spacing w:before="0" w:after="0"/>
              <w:ind w:left="0" w:right="0"/>
              <w:rPr>
                <w:rFonts w:ascii="Times New Roman" w:hAnsi="Times New Roman" w:cs="Times New Roman" w:eastAsia="Times New Roman"/>
                <w:sz w:val="24"/>
              </w:rPr>
            </w:pPr>
            <w:r>
              <w:rPr>
                <w:rFonts w:ascii="Times New Roman" w:hAnsi="Times New Roman" w:cs="Times New Roman" w:eastAsia="Times New Roman"/>
                <w:sz w:val="20"/>
                <w:szCs w:val="20"/>
              </w:rPr>
              <w:t>бухгалтер</w:t>
            </w:r>
          </w:p>
        </w:tc>
        <w:tc>
          <w:tcPr>
            <w:tcW w:w="2040" w:type="dxa"/>
            <w:tcMar>
              <w:top w:w="0" w:type="dxa"/>
              <w:left w:w="108" w:type="dxa"/>
              <w:bottom w:w="0" w:type="dxa"/>
              <w:right w:w="108" w:type="dxa"/>
            </w:tcMar>
            <w:vAlign w:val="center"/>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20"/>
                <w:szCs w:val="20"/>
              </w:rPr>
              <w:t>(подпись)</w:t>
            </w:r>
          </w:p>
        </w:tc>
        <w:tc>
          <w:tcPr>
            <w:tcW w:w="0" w:type="auto"/>
            <w:tcMar>
              <w:top w:w="0" w:type="dxa"/>
              <w:left w:w="108" w:type="dxa"/>
              <w:bottom w:w="0" w:type="dxa"/>
              <w:right w:w="108" w:type="dxa"/>
            </w:tcMar>
            <w:vAlign w:val="center"/>
            <w:hideMark/>
          </w:tcPr>
          <w:p>
            <w:pPr>
              <w:spacing w:before="0" w:after="0"/>
              <w:ind w:left="0" w:right="0"/>
              <w:jc w:val="center"/>
              <w:rPr>
                <w:rFonts w:ascii="Times New Roman" w:hAnsi="Times New Roman" w:cs="Times New Roman" w:eastAsia="Times New Roman"/>
                <w:sz w:val="24"/>
              </w:rPr>
            </w:pPr>
            <w:r>
              <w:rPr>
                <w:rFonts w:ascii="Times New Roman" w:hAnsi="Times New Roman" w:cs="Times New Roman" w:eastAsia="Times New Roman"/>
                <w:sz w:val="20"/>
                <w:szCs w:val="20"/>
              </w:rPr>
              <w:t>(расшифровка подписи)</w:t>
            </w:r>
          </w:p>
        </w:tc>
      </w:tr>
      <w:tr>
        <w:trPr>
          <w:trHeight w:hRule="atLeast" w:val="449"/>
        </w:trPr>
        <w:tc>
          <w:tcPr>
            <w:tcW w:w="3570" w:type="dxa"/>
            <w:tcMar>
              <w:top w:w="0" w:type="dxa"/>
              <w:left w:w="108" w:type="dxa"/>
              <w:bottom w:w="0" w:type="dxa"/>
              <w:right w:w="108" w:type="dxa"/>
            </w:tcMar>
            <w:vAlign w:val="center"/>
            <w:hideMark/>
          </w:tcPr>
          <w:p>
            <w:pPr>
              <w:spacing w:before="0" w:after="0"/>
              <w:ind w:left="0" w:right="0"/>
              <w:rPr>
                <w:rFonts w:ascii="Times New Roman" w:hAnsi="Times New Roman" w:cs="Times New Roman" w:eastAsia="Times New Roman"/>
                <w:sz w:val="24"/>
              </w:rPr>
            </w:pPr>
            <w:r>
              <w:rPr>
                <w:rFonts w:ascii="Times New Roman" w:hAnsi="Times New Roman" w:cs="Times New Roman" w:eastAsia="Times New Roman"/>
                <w:sz w:val="20"/>
                <w:szCs w:val="20"/>
              </w:rPr>
              <w:t>"____"   ____________ 20____г.</w:t>
            </w:r>
          </w:p>
        </w:tc>
        <w:tc>
          <w:tcPr>
            <w:tcW w:w="0" w:type="auto"/>
            <w:tcMar>
              <w:top w:w="0" w:type="dxa"/>
              <w:left w:w="108" w:type="dxa"/>
              <w:bottom w:w="0" w:type="dxa"/>
              <w:right w:w="108" w:type="dxa"/>
            </w:tcMar>
            <w:vAlign w:val="center"/>
            <w:hideMark/>
          </w:tcPr>
          <w:p>
            <w:pPr>
              <w:ind w:left="0" w:right="0"/>
              <w:rPr>
                <w:sz w:val="24"/>
              </w:rPr>
            </w:pPr>
          </w:p>
        </w:tc>
        <w:tc>
          <w:tcPr>
            <w:tcW w:w="0" w:type="auto"/>
            <w:tcMar>
              <w:top w:w="0" w:type="dxa"/>
              <w:left w:w="108" w:type="dxa"/>
              <w:bottom w:w="0" w:type="dxa"/>
              <w:right w:w="108" w:type="dxa"/>
            </w:tcMar>
            <w:vAlign w:val="center"/>
            <w:hideMark/>
          </w:tcPr>
          <w:p>
            <w:pPr>
              <w:ind w:left="0" w:right="0"/>
              <w:rPr>
                <w:sz w:val="24"/>
              </w:rPr>
            </w:pPr>
          </w:p>
        </w:tc>
      </w:tr>
    </w:tbl>
    <w:p>
      <w:r>
        <w:rPr>
          <w:rFonts w:ascii="Times New Roman" w:hAnsi="Times New Roman" w:cs="Times New Roman" w:eastAsia="Times New Roman"/>
          <w:sz w:val="24"/>
          <w:szCs w:val="24"/>
        </w:rPr>
        <w:t xml:space="preserve">        </w:t>
      </w:r>
    </w:p>
    <w:sectPr>
      <w:type w:val="nextPage"/>
      <w:pgMar w:left="1440" w:right="1440" w:top="1440" w:bottom="1440" w:header="720" w:footer="720" w:gutter="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0"/>
  <w:defaultTabStop w:val="720"/>
  <w:autoHyphenation w:val="0"/>
  <w:evenAndOddHeaders w:val="0"/>
  <w:characterSpacingControl w:val="compressPunctuation"/>
  <w:compat/>
  <m:mathPr xmlns:m="http://schemas.openxmlformats.org/officeDocument/2006/math">
    <m:brkBin m:val="before"/>
    <m:brkBinSub m:val="--"/>
    <m:defJc m:val="centerGroup"/>
    <m:interSp m:val="0"/>
    <m:intLim m:val="undOvr"/>
    <m:intraSp m:val="0"/>
    <m:lMargin m:val="0"/>
    <m:mathFont m:val="Cambria Math"/>
    <m:naryLim m:val="undOvr"/>
    <m:postSp m:val="0"/>
    <m:preSp m:val="0"/>
    <m:rMargin m:val="0"/>
    <m:wrapIndent m:val="0"/>
    <m:wrapRight m:val="0"/>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Theme="minorHAnsi" w:hAnsiTheme="minorHAnsi" w:cstheme="minorBidi" w:eastAsiaTheme="minorEastAsia"/>
        <w:sz w:val="22"/>
        <w:szCs w:val="22"/>
      </w:rPr>
    </w:rPrDefault>
    <w:pPrDefault>
      <w:pPr>
        <w:keepNext w:val="0"/>
        <w:keepLines w:val="0"/>
        <w:pageBreakBefore w:val="0"/>
        <w:widowControl w:val="1"/>
        <w:suppressLineNumbers w:val="0"/>
        <w:shd w:val="clear" w:fill="auto"/>
        <w:suppressAutoHyphens w:val="0"/>
        <w:spacing w:lineRule="auto" w:line="240" w:before="0" w:after="0" w:beforeAutospacing="0" w:afterAutospacing="0"/>
        <w:ind w:firstLine="0" w:left="0" w:right="0"/>
        <w:contextualSpacing w:val="0"/>
        <w:bidi w:val="0"/>
        <w:jc w:val="left"/>
        <w:outlineLvl w:val="9"/>
      </w:pPr>
    </w:pPrDefault>
  </w:docDefaults>
  <w:style w:type="paragraph" w:styleId="P0" w:default="1">
    <w:name w:val="Normal"/>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s>
</file>

<file path=word/_rels/document.xml.rels>&#65279;<?xml version="1.0" encoding="utf-8"?><Relationships xmlns="http://schemas.openxmlformats.org/package/2006/relationships"><Relationship Id="Relimage1" Type="http://schemas.openxmlformats.org/officeDocument/2006/relationships/image" Target="/media/image1.png" /><Relationship Id="Relimage2" Type="http://schemas.openxmlformats.org/officeDocument/2006/relationships/image" Target="/media/image2.png" /><Relationship Id="Relimage3" Type="http://schemas.openxmlformats.org/officeDocument/2006/relationships/image" Target="/media/image3.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7EAADF"/>
      </a:accent1>
      <a:accent2>
        <a:srgbClr val="EA726F"/>
      </a:accent2>
      <a:accent3>
        <a:srgbClr val="A9D774"/>
      </a:accent3>
      <a:accent4>
        <a:srgbClr val="A78BC9"/>
      </a:accent4>
      <a:accent5>
        <a:srgbClr val="78CBE1"/>
      </a:accent5>
      <a:accent6>
        <a:srgbClr val="FCBF8C"/>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theme>
</file>

<file path=docProps/app.xml><?xml version="1.0" encoding="utf-8"?>
<Properties xmlns="http://schemas.openxmlformats.org/officeDocument/2006/extended-properties">
  <Application>MKS Office File API/24.1.3.0</Application>
  <AppVersion>24.1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erms:created xsi:type="dcterms:W3CDTF">2026-09-16T03:59:17Z</dcterms:created>
  <dcterms:modified xsi:type="dcterms:W3CDTF">2026-09-16T03:59:17Z</dcterms:modified>
  <cp:revision>1</cp:revision>
</cp:coreProperties>
</file>